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902" w:rsidRDefault="00896137">
      <w:pPr>
        <w:overflowPunct w:val="0"/>
        <w:spacing w:afterLines="150" w:after="360"/>
        <w:jc w:val="center"/>
        <w:rPr>
          <w:rFonts w:eastAsia="黑体"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行政职业素养与能力</w:t>
      </w:r>
      <w:proofErr w:type="gramStart"/>
      <w:r>
        <w:rPr>
          <w:rFonts w:ascii="黑体" w:eastAsia="黑体" w:hint="eastAsia"/>
          <w:b/>
          <w:sz w:val="36"/>
          <w:szCs w:val="36"/>
        </w:rPr>
        <w:t>微专业</w:t>
      </w:r>
      <w:proofErr w:type="gramEnd"/>
      <w:r>
        <w:rPr>
          <w:rFonts w:ascii="黑体" w:eastAsia="黑体" w:hint="eastAsia"/>
          <w:b/>
          <w:sz w:val="36"/>
          <w:szCs w:val="36"/>
        </w:rPr>
        <w:t>招生简章</w:t>
      </w:r>
    </w:p>
    <w:p w:rsidR="00197902" w:rsidRDefault="00896137">
      <w:pPr>
        <w:overflowPunct w:val="0"/>
        <w:spacing w:line="360" w:lineRule="auto"/>
        <w:rPr>
          <w:rFonts w:ascii="黑体" w:eastAsia="黑体"/>
          <w:b/>
          <w:szCs w:val="21"/>
        </w:rPr>
      </w:pPr>
      <w:r>
        <w:rPr>
          <w:rFonts w:ascii="黑体" w:eastAsia="黑体" w:hint="eastAsia"/>
          <w:b/>
          <w:szCs w:val="21"/>
        </w:rPr>
        <w:t>一、</w:t>
      </w:r>
      <w:proofErr w:type="gramStart"/>
      <w:r>
        <w:rPr>
          <w:rFonts w:ascii="黑体" w:eastAsia="黑体" w:hint="eastAsia"/>
          <w:b/>
          <w:szCs w:val="21"/>
        </w:rPr>
        <w:t>微专业</w:t>
      </w:r>
      <w:proofErr w:type="gramEnd"/>
      <w:r>
        <w:rPr>
          <w:rFonts w:ascii="黑体" w:eastAsia="黑体" w:hint="eastAsia"/>
          <w:b/>
          <w:szCs w:val="21"/>
        </w:rPr>
        <w:t>简介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 w:hint="eastAsia"/>
          <w:bCs/>
          <w:sz w:val="21"/>
          <w:szCs w:val="21"/>
        </w:rPr>
        <w:t>《行政职业素养与能力》</w:t>
      </w:r>
      <w:proofErr w:type="gramStart"/>
      <w:r>
        <w:rPr>
          <w:rFonts w:ascii="宋体" w:hAnsi="宋体" w:cs="宋体" w:hint="eastAsia"/>
          <w:bCs/>
          <w:sz w:val="21"/>
          <w:szCs w:val="21"/>
        </w:rPr>
        <w:t>微专业</w:t>
      </w:r>
      <w:proofErr w:type="gramEnd"/>
      <w:r>
        <w:rPr>
          <w:rFonts w:ascii="宋体" w:hAnsi="宋体" w:cs="宋体" w:hint="eastAsia"/>
          <w:bCs/>
          <w:sz w:val="21"/>
          <w:szCs w:val="21"/>
        </w:rPr>
        <w:t>是</w:t>
      </w:r>
      <w:r>
        <w:rPr>
          <w:rFonts w:ascii="宋体" w:hAnsi="宋体" w:cs="宋体" w:hint="eastAsia"/>
          <w:bCs/>
          <w:sz w:val="21"/>
          <w:szCs w:val="21"/>
        </w:rPr>
        <w:t>依托文法学院中文教研室教师资源，对</w:t>
      </w:r>
      <w:proofErr w:type="gramStart"/>
      <w:r>
        <w:rPr>
          <w:rFonts w:ascii="宋体" w:hAnsi="宋体" w:cs="宋体" w:hint="eastAsia"/>
          <w:bCs/>
          <w:sz w:val="21"/>
          <w:szCs w:val="21"/>
        </w:rPr>
        <w:t>标行政</w:t>
      </w:r>
      <w:proofErr w:type="gramEnd"/>
      <w:r>
        <w:rPr>
          <w:rFonts w:ascii="宋体" w:hAnsi="宋体" w:cs="宋体" w:hint="eastAsia"/>
          <w:bCs/>
          <w:sz w:val="21"/>
          <w:szCs w:val="21"/>
        </w:rPr>
        <w:t>事业人员所需核心知识而建设的应用型专业。专业整合文学、法学和数学等多学科</w:t>
      </w:r>
      <w:r>
        <w:rPr>
          <w:rFonts w:ascii="宋体" w:hAnsi="宋体" w:cs="宋体" w:hint="eastAsia"/>
          <w:bCs/>
          <w:sz w:val="21"/>
          <w:szCs w:val="21"/>
        </w:rPr>
        <w:t>专业的</w:t>
      </w:r>
      <w:r>
        <w:rPr>
          <w:rFonts w:ascii="宋体" w:hAnsi="宋体" w:cs="宋体" w:hint="eastAsia"/>
          <w:bCs/>
          <w:sz w:val="21"/>
          <w:szCs w:val="21"/>
        </w:rPr>
        <w:t>资源，以新时代</w:t>
      </w:r>
      <w:r>
        <w:rPr>
          <w:rFonts w:ascii="宋体" w:hAnsi="宋体" w:cs="宋体" w:hint="eastAsia"/>
          <w:bCs/>
          <w:sz w:val="21"/>
          <w:szCs w:val="21"/>
        </w:rPr>
        <w:t>行政</w:t>
      </w:r>
      <w:r>
        <w:rPr>
          <w:rFonts w:ascii="宋体" w:hAnsi="宋体" w:cs="宋体" w:hint="eastAsia"/>
          <w:bCs/>
          <w:sz w:val="21"/>
          <w:szCs w:val="21"/>
        </w:rPr>
        <w:t>人员职业道德、专业理论、公务</w:t>
      </w:r>
      <w:r>
        <w:rPr>
          <w:rFonts w:ascii="宋体" w:hAnsi="宋体" w:cs="宋体" w:hint="eastAsia"/>
          <w:bCs/>
          <w:sz w:val="21"/>
          <w:szCs w:val="21"/>
        </w:rPr>
        <w:t>能力</w:t>
      </w:r>
      <w:r>
        <w:rPr>
          <w:rFonts w:ascii="宋体" w:hAnsi="宋体" w:cs="宋体" w:hint="eastAsia"/>
          <w:bCs/>
          <w:sz w:val="21"/>
          <w:szCs w:val="21"/>
        </w:rPr>
        <w:t>等核心素养的现实需求为导向，培养系统掌握现代</w:t>
      </w:r>
      <w:r>
        <w:rPr>
          <w:rFonts w:ascii="宋体" w:hAnsi="宋体" w:cs="宋体" w:hint="eastAsia"/>
          <w:bCs/>
          <w:sz w:val="21"/>
          <w:szCs w:val="21"/>
        </w:rPr>
        <w:t>行政管理能力</w:t>
      </w:r>
      <w:r>
        <w:rPr>
          <w:rFonts w:ascii="宋体" w:hAnsi="宋体" w:cs="宋体" w:hint="eastAsia"/>
          <w:bCs/>
          <w:sz w:val="21"/>
          <w:szCs w:val="21"/>
        </w:rPr>
        <w:t>，具备过硬思想政治素质和扎实专业理论知识的高素质、复合型人才。能够胜任各级党政机关、企事业单位及其</w:t>
      </w:r>
      <w:proofErr w:type="gramStart"/>
      <w:r>
        <w:rPr>
          <w:rFonts w:ascii="宋体" w:hAnsi="宋体" w:cs="宋体" w:hint="eastAsia"/>
          <w:bCs/>
          <w:sz w:val="21"/>
          <w:szCs w:val="21"/>
        </w:rPr>
        <w:t>它部门</w:t>
      </w:r>
      <w:proofErr w:type="gramEnd"/>
      <w:r>
        <w:rPr>
          <w:rFonts w:ascii="宋体" w:hAnsi="宋体" w:cs="宋体" w:hint="eastAsia"/>
          <w:bCs/>
          <w:sz w:val="21"/>
          <w:szCs w:val="21"/>
        </w:rPr>
        <w:t>的</w:t>
      </w:r>
      <w:r>
        <w:rPr>
          <w:rFonts w:ascii="宋体" w:hAnsi="宋体" w:cs="宋体" w:hint="eastAsia"/>
          <w:bCs/>
          <w:sz w:val="21"/>
          <w:szCs w:val="21"/>
        </w:rPr>
        <w:t>行政</w:t>
      </w:r>
      <w:r>
        <w:rPr>
          <w:rFonts w:ascii="宋体" w:hAnsi="宋体" w:cs="宋体" w:hint="eastAsia"/>
          <w:bCs/>
          <w:sz w:val="21"/>
          <w:szCs w:val="21"/>
        </w:rPr>
        <w:t>工作，服务国家教育强国战略和地方经济社会发展。本专业</w:t>
      </w:r>
      <w:r>
        <w:rPr>
          <w:rFonts w:ascii="宋体" w:hAnsi="宋体" w:cs="宋体" w:hint="eastAsia"/>
          <w:bCs/>
          <w:sz w:val="21"/>
          <w:szCs w:val="21"/>
        </w:rPr>
        <w:t>采取</w:t>
      </w:r>
      <w:r>
        <w:rPr>
          <w:rFonts w:ascii="宋体" w:hAnsi="宋体" w:cs="宋体" w:hint="eastAsia"/>
          <w:bCs/>
          <w:sz w:val="21"/>
          <w:szCs w:val="21"/>
        </w:rPr>
        <w:t>理论学习与应用实操相结合的教学模式，通过申论、公务文书写作、</w:t>
      </w:r>
      <w:r>
        <w:rPr>
          <w:rFonts w:ascii="宋体" w:hAnsi="宋体" w:cs="宋体" w:hint="eastAsia"/>
          <w:bCs/>
          <w:sz w:val="21"/>
          <w:szCs w:val="21"/>
        </w:rPr>
        <w:t>人际沟通与结构化</w:t>
      </w:r>
      <w:r>
        <w:rPr>
          <w:rFonts w:ascii="宋体" w:hAnsi="宋体" w:cs="宋体" w:hint="eastAsia"/>
          <w:bCs/>
          <w:sz w:val="21"/>
          <w:szCs w:val="21"/>
        </w:rPr>
        <w:t>面试、数量关系与逻辑推理、文化心理知能养成、</w:t>
      </w:r>
      <w:r>
        <w:rPr>
          <w:rFonts w:ascii="宋体" w:hAnsi="宋体" w:cs="宋体" w:hint="eastAsia"/>
          <w:bCs/>
          <w:sz w:val="21"/>
          <w:szCs w:val="21"/>
        </w:rPr>
        <w:t>行政职业能力与</w:t>
      </w:r>
      <w:r>
        <w:rPr>
          <w:rFonts w:ascii="宋体" w:hAnsi="宋体" w:cs="宋体" w:hint="eastAsia"/>
          <w:bCs/>
          <w:sz w:val="21"/>
          <w:szCs w:val="21"/>
        </w:rPr>
        <w:t>法律素养等</w:t>
      </w:r>
      <w:r>
        <w:rPr>
          <w:rFonts w:ascii="宋体" w:hAnsi="宋体" w:cs="宋体" w:hint="eastAsia"/>
          <w:bCs/>
          <w:sz w:val="21"/>
          <w:szCs w:val="21"/>
        </w:rPr>
        <w:t>六门</w:t>
      </w:r>
      <w:r>
        <w:rPr>
          <w:rFonts w:ascii="宋体" w:hAnsi="宋体" w:cs="宋体" w:hint="eastAsia"/>
          <w:bCs/>
          <w:sz w:val="21"/>
          <w:szCs w:val="21"/>
        </w:rPr>
        <w:t>课程的</w:t>
      </w:r>
      <w:r>
        <w:rPr>
          <w:rFonts w:ascii="宋体" w:hAnsi="宋体" w:cs="宋体" w:hint="eastAsia"/>
          <w:bCs/>
          <w:sz w:val="21"/>
          <w:szCs w:val="21"/>
        </w:rPr>
        <w:t>系统学习，</w:t>
      </w:r>
      <w:r>
        <w:rPr>
          <w:rFonts w:ascii="宋体" w:hAnsi="宋体" w:cs="宋体" w:hint="eastAsia"/>
          <w:bCs/>
          <w:sz w:val="21"/>
          <w:szCs w:val="21"/>
        </w:rPr>
        <w:t>旨在促进学生的多样化发展</w:t>
      </w:r>
      <w:r>
        <w:rPr>
          <w:rFonts w:ascii="宋体" w:hAnsi="宋体" w:cs="宋体" w:hint="eastAsia"/>
          <w:bCs/>
          <w:sz w:val="21"/>
          <w:szCs w:val="21"/>
        </w:rPr>
        <w:t>，</w:t>
      </w:r>
      <w:r>
        <w:rPr>
          <w:rFonts w:ascii="宋体" w:hAnsi="宋体" w:cs="宋体" w:hint="eastAsia"/>
          <w:bCs/>
          <w:sz w:val="21"/>
          <w:szCs w:val="21"/>
        </w:rPr>
        <w:t>增强学生的就业核心竞争力和未来职业生涯的</w:t>
      </w:r>
      <w:r>
        <w:rPr>
          <w:rFonts w:ascii="宋体" w:hAnsi="宋体" w:cs="宋体" w:hint="eastAsia"/>
          <w:bCs/>
          <w:sz w:val="21"/>
          <w:szCs w:val="21"/>
        </w:rPr>
        <w:t>综合素养</w:t>
      </w:r>
      <w:r>
        <w:rPr>
          <w:rFonts w:ascii="宋体" w:hAnsi="宋体" w:cs="宋体" w:hint="eastAsia"/>
          <w:bCs/>
          <w:sz w:val="21"/>
          <w:szCs w:val="21"/>
        </w:rPr>
        <w:t>。</w:t>
      </w:r>
    </w:p>
    <w:p w:rsidR="00197902" w:rsidRDefault="00197902">
      <w:pPr>
        <w:overflowPunct w:val="0"/>
        <w:spacing w:line="360" w:lineRule="auto"/>
        <w:rPr>
          <w:rFonts w:ascii="黑体" w:eastAsia="黑体" w:hAnsi="黑体"/>
          <w:b/>
          <w:sz w:val="21"/>
          <w:szCs w:val="21"/>
        </w:rPr>
      </w:pPr>
    </w:p>
    <w:p w:rsidR="00197902" w:rsidRDefault="00896137">
      <w:pPr>
        <w:overflowPunct w:val="0"/>
        <w:spacing w:line="360" w:lineRule="auto"/>
        <w:rPr>
          <w:rFonts w:ascii="黑体" w:eastAsia="黑体"/>
          <w:b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>二、</w:t>
      </w:r>
      <w:r>
        <w:rPr>
          <w:rFonts w:ascii="黑体" w:eastAsia="黑体" w:hint="eastAsia"/>
          <w:b/>
          <w:szCs w:val="21"/>
        </w:rPr>
        <w:t>培养目标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根据国家“新文科”建设的要求，</w:t>
      </w:r>
      <w:r>
        <w:rPr>
          <w:rFonts w:ascii="宋体" w:hAnsi="宋体" w:hint="eastAsia"/>
          <w:sz w:val="21"/>
          <w:szCs w:val="21"/>
        </w:rPr>
        <w:t>《</w:t>
      </w:r>
      <w:r>
        <w:rPr>
          <w:rFonts w:ascii="宋体" w:hAnsi="宋体" w:hint="eastAsia"/>
          <w:sz w:val="21"/>
          <w:szCs w:val="21"/>
        </w:rPr>
        <w:t>行政职业素养与能力</w:t>
      </w:r>
      <w:r>
        <w:rPr>
          <w:rFonts w:ascii="宋体" w:hAnsi="宋体" w:hint="eastAsia"/>
          <w:sz w:val="21"/>
          <w:szCs w:val="21"/>
        </w:rPr>
        <w:t>》</w:t>
      </w:r>
      <w:proofErr w:type="gramStart"/>
      <w:r>
        <w:rPr>
          <w:rFonts w:ascii="宋体" w:hAnsi="宋体" w:hint="eastAsia"/>
          <w:sz w:val="21"/>
          <w:szCs w:val="21"/>
        </w:rPr>
        <w:t>微专业</w:t>
      </w:r>
      <w:proofErr w:type="gramEnd"/>
      <w:r>
        <w:rPr>
          <w:rFonts w:ascii="宋体" w:hAnsi="宋体" w:hint="eastAsia"/>
          <w:sz w:val="21"/>
          <w:szCs w:val="21"/>
        </w:rPr>
        <w:t>的培养目标为：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培养目标</w:t>
      </w:r>
      <w:r>
        <w:rPr>
          <w:rFonts w:ascii="宋体" w:hAnsi="宋体" w:hint="eastAsia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：培养具有马克思主义理论素养、“国之大者”的家国情怀和“人民为中心”的服务意识。</w:t>
      </w:r>
      <w:r>
        <w:rPr>
          <w:rFonts w:ascii="宋体" w:hAnsi="宋体" w:hint="eastAsia"/>
          <w:sz w:val="21"/>
          <w:szCs w:val="21"/>
        </w:rPr>
        <w:t>能够</w:t>
      </w:r>
      <w:r>
        <w:rPr>
          <w:rFonts w:ascii="宋体" w:hAnsi="宋体" w:hint="eastAsia"/>
          <w:sz w:val="21"/>
          <w:szCs w:val="21"/>
        </w:rPr>
        <w:t>热爱中华</w:t>
      </w:r>
      <w:r>
        <w:rPr>
          <w:rFonts w:ascii="宋体" w:hAnsi="宋体" w:hint="eastAsia"/>
          <w:sz w:val="21"/>
          <w:szCs w:val="21"/>
        </w:rPr>
        <w:t>优秀</w:t>
      </w:r>
      <w:r>
        <w:rPr>
          <w:rFonts w:ascii="宋体" w:hAnsi="宋体" w:hint="eastAsia"/>
          <w:sz w:val="21"/>
          <w:szCs w:val="21"/>
        </w:rPr>
        <w:t>传统文化，</w:t>
      </w:r>
      <w:proofErr w:type="gramStart"/>
      <w:r>
        <w:rPr>
          <w:rFonts w:ascii="宋体" w:hAnsi="宋体" w:hint="eastAsia"/>
          <w:sz w:val="21"/>
          <w:szCs w:val="21"/>
        </w:rPr>
        <w:t>践行</w:t>
      </w:r>
      <w:proofErr w:type="gramEnd"/>
      <w:r>
        <w:rPr>
          <w:rFonts w:ascii="宋体" w:hAnsi="宋体" w:hint="eastAsia"/>
          <w:sz w:val="21"/>
          <w:szCs w:val="21"/>
        </w:rPr>
        <w:t>社会主义核心价值观；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培养目标</w:t>
      </w: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：具备能够进入党政机关、企事业单位等部门工作的行政职业能力；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培养目标</w:t>
      </w:r>
      <w:r>
        <w:rPr>
          <w:rFonts w:ascii="宋体" w:hAnsi="宋体" w:hint="eastAsia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：具备良好的决策、组织、沟通、协调能力以及写作能力；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培养目标</w:t>
      </w:r>
      <w:r>
        <w:rPr>
          <w:rFonts w:ascii="宋体" w:hAnsi="宋体"/>
          <w:sz w:val="21"/>
          <w:szCs w:val="21"/>
        </w:rPr>
        <w:t>4</w:t>
      </w:r>
      <w:r>
        <w:rPr>
          <w:rFonts w:ascii="宋体" w:hAnsi="宋体" w:hint="eastAsia"/>
          <w:sz w:val="21"/>
          <w:szCs w:val="21"/>
        </w:rPr>
        <w:t>：具备较强的思辨能力、分析问题能力和解决问题的能力。</w:t>
      </w:r>
      <w:r>
        <w:rPr>
          <w:rFonts w:ascii="宋体" w:hAnsi="宋体" w:hint="eastAsia"/>
          <w:sz w:val="21"/>
          <w:szCs w:val="21"/>
        </w:rPr>
        <w:t xml:space="preserve"> 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培养目标</w:t>
      </w:r>
      <w:r>
        <w:rPr>
          <w:rFonts w:ascii="宋体" w:hAnsi="宋体"/>
          <w:sz w:val="21"/>
          <w:szCs w:val="21"/>
        </w:rPr>
        <w:t>5</w:t>
      </w:r>
      <w:r>
        <w:rPr>
          <w:rFonts w:ascii="宋体" w:hAnsi="宋体" w:hint="eastAsia"/>
          <w:sz w:val="21"/>
          <w:szCs w:val="21"/>
        </w:rPr>
        <w:t>：具备自主学习、终身学习的意识和能力，持续提升公共服务能力、调查研究能力、沟通协作能力、突发事件应对与处置能力和心理调适能力，能在职业生涯中实现行政</w:t>
      </w:r>
      <w:r>
        <w:rPr>
          <w:rFonts w:ascii="宋体" w:hAnsi="宋体" w:hint="eastAsia"/>
          <w:sz w:val="21"/>
          <w:szCs w:val="21"/>
        </w:rPr>
        <w:t>管理</w:t>
      </w:r>
      <w:r>
        <w:rPr>
          <w:rFonts w:ascii="宋体" w:hAnsi="宋体" w:hint="eastAsia"/>
          <w:sz w:val="21"/>
          <w:szCs w:val="21"/>
        </w:rPr>
        <w:t>能力和水平的持续提升。</w:t>
      </w:r>
    </w:p>
    <w:p w:rsidR="00197902" w:rsidRPr="008A0BA6" w:rsidRDefault="00197902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</w:p>
    <w:p w:rsidR="00197902" w:rsidRDefault="00896137">
      <w:pPr>
        <w:overflowPunct w:val="0"/>
        <w:spacing w:line="360" w:lineRule="auto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>三、专业亮点</w:t>
      </w:r>
    </w:p>
    <w:p w:rsidR="00197902" w:rsidRDefault="00896137">
      <w:pPr>
        <w:overflowPunct w:val="0"/>
        <w:spacing w:line="36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、精简学制和学分：</w:t>
      </w:r>
      <w:r>
        <w:rPr>
          <w:rFonts w:ascii="宋体" w:hAnsi="宋体" w:hint="eastAsia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学年，高效学习，快速掌握核心技能。</w:t>
      </w:r>
      <w:r>
        <w:rPr>
          <w:rFonts w:ascii="宋体" w:hAnsi="宋体" w:hint="eastAsia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学分，</w:t>
      </w:r>
      <w:r>
        <w:rPr>
          <w:rFonts w:ascii="宋体" w:hAnsi="宋体" w:hint="eastAsia"/>
          <w:sz w:val="21"/>
          <w:szCs w:val="21"/>
        </w:rPr>
        <w:t>通过三大板块的课程体系（</w:t>
      </w:r>
      <w:r>
        <w:rPr>
          <w:rFonts w:ascii="宋体" w:hAnsi="宋体" w:hint="eastAsia"/>
          <w:sz w:val="21"/>
          <w:szCs w:val="21"/>
        </w:rPr>
        <w:t>专业基础建构</w:t>
      </w:r>
      <w:r>
        <w:rPr>
          <w:rFonts w:ascii="宋体" w:hAnsi="宋体" w:hint="eastAsia"/>
          <w:sz w:val="21"/>
          <w:szCs w:val="21"/>
        </w:rPr>
        <w:t>+</w:t>
      </w:r>
      <w:r>
        <w:rPr>
          <w:rFonts w:ascii="宋体" w:hAnsi="宋体" w:hint="eastAsia"/>
          <w:sz w:val="21"/>
          <w:szCs w:val="21"/>
        </w:rPr>
        <w:t>专业</w:t>
      </w:r>
      <w:r>
        <w:rPr>
          <w:rFonts w:ascii="宋体" w:hAnsi="宋体" w:hint="eastAsia"/>
          <w:sz w:val="21"/>
          <w:szCs w:val="21"/>
        </w:rPr>
        <w:t>实践模拟</w:t>
      </w:r>
      <w:r>
        <w:rPr>
          <w:rFonts w:ascii="宋体" w:hAnsi="宋体" w:hint="eastAsia"/>
          <w:sz w:val="21"/>
          <w:szCs w:val="21"/>
        </w:rPr>
        <w:t>+</w:t>
      </w:r>
      <w:r>
        <w:rPr>
          <w:rFonts w:ascii="宋体" w:hAnsi="宋体" w:hint="eastAsia"/>
          <w:sz w:val="21"/>
          <w:szCs w:val="21"/>
        </w:rPr>
        <w:t>能力素养提升</w:t>
      </w:r>
      <w:r>
        <w:rPr>
          <w:rFonts w:ascii="宋体" w:hAnsi="宋体" w:hint="eastAsia"/>
          <w:sz w:val="21"/>
          <w:szCs w:val="21"/>
        </w:rPr>
        <w:t>）展开教学，</w:t>
      </w:r>
      <w:r>
        <w:rPr>
          <w:rFonts w:ascii="宋体" w:hAnsi="宋体" w:hint="eastAsia"/>
          <w:sz w:val="21"/>
          <w:szCs w:val="21"/>
        </w:rPr>
        <w:t>涵盖</w:t>
      </w:r>
      <w:r>
        <w:rPr>
          <w:rFonts w:ascii="宋体" w:hAnsi="宋体" w:hint="eastAsia"/>
          <w:sz w:val="21"/>
          <w:szCs w:val="21"/>
        </w:rPr>
        <w:t>行政</w:t>
      </w:r>
      <w:r>
        <w:rPr>
          <w:rFonts w:ascii="宋体" w:hAnsi="宋体" w:hint="eastAsia"/>
          <w:sz w:val="21"/>
          <w:szCs w:val="21"/>
        </w:rPr>
        <w:t>职业发展的</w:t>
      </w:r>
      <w:r>
        <w:rPr>
          <w:rFonts w:ascii="宋体" w:hAnsi="宋体" w:hint="eastAsia"/>
          <w:sz w:val="21"/>
          <w:szCs w:val="21"/>
        </w:rPr>
        <w:t>诸多方面</w:t>
      </w:r>
      <w:r>
        <w:rPr>
          <w:rFonts w:ascii="宋体" w:hAnsi="宋体" w:hint="eastAsia"/>
          <w:sz w:val="21"/>
          <w:szCs w:val="21"/>
        </w:rPr>
        <w:t>。</w:t>
      </w:r>
      <w:r>
        <w:rPr>
          <w:rFonts w:ascii="宋体" w:hAnsi="宋体" w:hint="eastAsia"/>
          <w:sz w:val="21"/>
          <w:szCs w:val="21"/>
        </w:rPr>
        <w:t>完成</w:t>
      </w:r>
      <w:r>
        <w:rPr>
          <w:rFonts w:ascii="宋体" w:hAnsi="宋体" w:hint="eastAsia"/>
          <w:sz w:val="21"/>
          <w:szCs w:val="21"/>
        </w:rPr>
        <w:t>教学计划规定的</w:t>
      </w:r>
      <w:r>
        <w:rPr>
          <w:rFonts w:ascii="宋体" w:hAnsi="宋体" w:hint="eastAsia"/>
          <w:sz w:val="21"/>
          <w:szCs w:val="21"/>
        </w:rPr>
        <w:t>6</w:t>
      </w:r>
      <w:r>
        <w:rPr>
          <w:rFonts w:ascii="宋体" w:hAnsi="宋体" w:hint="eastAsia"/>
          <w:sz w:val="21"/>
          <w:szCs w:val="21"/>
        </w:rPr>
        <w:t>门课内容，达到考核要求的，授予</w:t>
      </w:r>
      <w:r>
        <w:rPr>
          <w:rFonts w:ascii="宋体" w:hAnsi="宋体" w:hint="eastAsia"/>
          <w:sz w:val="21"/>
          <w:szCs w:val="21"/>
        </w:rPr>
        <w:t>行政职业素养与能力</w:t>
      </w:r>
      <w:proofErr w:type="gramStart"/>
      <w:r>
        <w:rPr>
          <w:rFonts w:ascii="宋体" w:hAnsi="宋体" w:hint="eastAsia"/>
          <w:sz w:val="21"/>
          <w:szCs w:val="21"/>
        </w:rPr>
        <w:t>微专业</w:t>
      </w:r>
      <w:proofErr w:type="gramEnd"/>
      <w:r>
        <w:rPr>
          <w:rFonts w:ascii="宋体" w:hAnsi="宋体" w:hint="eastAsia"/>
          <w:sz w:val="21"/>
          <w:szCs w:val="21"/>
        </w:rPr>
        <w:t>证书。</w:t>
      </w:r>
    </w:p>
    <w:p w:rsidR="00197902" w:rsidRDefault="00896137">
      <w:pPr>
        <w:overflowPunct w:val="0"/>
        <w:spacing w:line="36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、优质</w:t>
      </w:r>
      <w:r>
        <w:rPr>
          <w:rFonts w:ascii="宋体" w:hAnsi="宋体" w:hint="eastAsia"/>
          <w:sz w:val="21"/>
          <w:szCs w:val="21"/>
        </w:rPr>
        <w:t>的师资团队</w:t>
      </w:r>
      <w:r>
        <w:rPr>
          <w:rFonts w:ascii="宋体" w:hAnsi="宋体" w:hint="eastAsia"/>
          <w:sz w:val="21"/>
          <w:szCs w:val="21"/>
        </w:rPr>
        <w:t>：</w:t>
      </w:r>
      <w:r>
        <w:rPr>
          <w:rFonts w:ascii="宋体" w:hAnsi="宋体" w:hint="eastAsia"/>
          <w:sz w:val="21"/>
          <w:szCs w:val="21"/>
        </w:rPr>
        <w:t>教师队伍</w:t>
      </w:r>
      <w:r>
        <w:rPr>
          <w:rFonts w:ascii="宋体" w:hAnsi="宋体" w:hint="eastAsia"/>
          <w:sz w:val="21"/>
          <w:szCs w:val="21"/>
        </w:rPr>
        <w:t>师资队伍年龄结构合理、教学科研能力突出。</w:t>
      </w:r>
      <w:r>
        <w:rPr>
          <w:rFonts w:ascii="宋体" w:hAnsi="宋体" w:hint="eastAsia"/>
          <w:sz w:val="21"/>
          <w:szCs w:val="21"/>
        </w:rPr>
        <w:t>多位教师有</w:t>
      </w:r>
      <w:proofErr w:type="gramStart"/>
      <w:r>
        <w:rPr>
          <w:rFonts w:ascii="宋体" w:hAnsi="宋体" w:hint="eastAsia"/>
          <w:sz w:val="21"/>
          <w:szCs w:val="21"/>
        </w:rPr>
        <w:t>考公考编</w:t>
      </w:r>
      <w:proofErr w:type="gramEnd"/>
      <w:r>
        <w:rPr>
          <w:rFonts w:ascii="宋体" w:hAnsi="宋体" w:hint="eastAsia"/>
          <w:sz w:val="21"/>
          <w:szCs w:val="21"/>
        </w:rPr>
        <w:t>辅导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ascii="宋体" w:hAnsi="宋体" w:hint="eastAsia"/>
          <w:sz w:val="21"/>
          <w:szCs w:val="21"/>
        </w:rPr>
        <w:t>以及</w:t>
      </w:r>
      <w:r>
        <w:rPr>
          <w:rFonts w:ascii="宋体" w:hAnsi="宋体" w:hint="eastAsia"/>
          <w:sz w:val="21"/>
          <w:szCs w:val="21"/>
        </w:rPr>
        <w:t>长期参与</w:t>
      </w:r>
      <w:proofErr w:type="gramStart"/>
      <w:r>
        <w:rPr>
          <w:rFonts w:ascii="宋体" w:hAnsi="宋体" w:hint="eastAsia"/>
          <w:sz w:val="21"/>
          <w:szCs w:val="21"/>
        </w:rPr>
        <w:t>各级</w:t>
      </w:r>
      <w:r>
        <w:rPr>
          <w:rFonts w:ascii="宋体" w:hAnsi="宋体" w:hint="eastAsia"/>
          <w:sz w:val="21"/>
          <w:szCs w:val="21"/>
        </w:rPr>
        <w:t>公考</w:t>
      </w:r>
      <w:r>
        <w:rPr>
          <w:rFonts w:ascii="宋体" w:hAnsi="宋体" w:hint="eastAsia"/>
          <w:sz w:val="21"/>
          <w:szCs w:val="21"/>
        </w:rPr>
        <w:t>阅</w:t>
      </w:r>
      <w:proofErr w:type="gramEnd"/>
      <w:r>
        <w:rPr>
          <w:rFonts w:ascii="宋体" w:hAnsi="宋体" w:hint="eastAsia"/>
          <w:sz w:val="21"/>
          <w:szCs w:val="21"/>
        </w:rPr>
        <w:t>卷工作</w:t>
      </w:r>
      <w:r>
        <w:rPr>
          <w:rFonts w:ascii="宋体" w:hAnsi="宋体" w:hint="eastAsia"/>
          <w:sz w:val="21"/>
          <w:szCs w:val="21"/>
        </w:rPr>
        <w:t>的经历</w:t>
      </w:r>
      <w:r>
        <w:rPr>
          <w:rFonts w:ascii="宋体" w:hAnsi="宋体" w:hint="eastAsia"/>
          <w:sz w:val="21"/>
          <w:szCs w:val="21"/>
        </w:rPr>
        <w:t>，能够为学生提供扎实的理论知识</w:t>
      </w:r>
      <w:r>
        <w:rPr>
          <w:rFonts w:ascii="宋体" w:hAnsi="宋体" w:hint="eastAsia"/>
          <w:sz w:val="21"/>
          <w:szCs w:val="21"/>
        </w:rPr>
        <w:t>和实践经验</w:t>
      </w:r>
      <w:r>
        <w:rPr>
          <w:rFonts w:ascii="宋体" w:hAnsi="宋体" w:hint="eastAsia"/>
          <w:sz w:val="21"/>
          <w:szCs w:val="21"/>
        </w:rPr>
        <w:t>。</w:t>
      </w:r>
    </w:p>
    <w:p w:rsidR="00197902" w:rsidRDefault="00896137">
      <w:pPr>
        <w:overflowPunct w:val="0"/>
        <w:spacing w:line="36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、小班授课模式：采用小班授课的方式，人数</w:t>
      </w:r>
      <w:r>
        <w:rPr>
          <w:rFonts w:ascii="宋体" w:hAnsi="宋体" w:hint="eastAsia"/>
          <w:sz w:val="21"/>
          <w:szCs w:val="21"/>
        </w:rPr>
        <w:t>25-40</w:t>
      </w:r>
      <w:r>
        <w:rPr>
          <w:rFonts w:ascii="宋体" w:hAnsi="宋体" w:hint="eastAsia"/>
          <w:sz w:val="21"/>
          <w:szCs w:val="21"/>
        </w:rPr>
        <w:t>。教师能够更好地了解学生的学习情况，提供个性化</w:t>
      </w:r>
      <w:r>
        <w:rPr>
          <w:rFonts w:ascii="宋体" w:hAnsi="宋体" w:hint="eastAsia"/>
          <w:sz w:val="21"/>
          <w:szCs w:val="21"/>
        </w:rPr>
        <w:t>和富有针对性的教学</w:t>
      </w:r>
      <w:r>
        <w:rPr>
          <w:rFonts w:ascii="宋体" w:hAnsi="宋体" w:hint="eastAsia"/>
          <w:sz w:val="21"/>
          <w:szCs w:val="21"/>
        </w:rPr>
        <w:t>辅导和支持。</w:t>
      </w:r>
    </w:p>
    <w:p w:rsidR="00197902" w:rsidRDefault="00197902">
      <w:pPr>
        <w:overflowPunct w:val="0"/>
        <w:spacing w:line="360" w:lineRule="auto"/>
        <w:ind w:firstLineChars="200" w:firstLine="420"/>
        <w:jc w:val="both"/>
        <w:rPr>
          <w:rFonts w:ascii="宋体" w:hAnsi="宋体"/>
          <w:sz w:val="21"/>
          <w:szCs w:val="21"/>
        </w:rPr>
      </w:pPr>
    </w:p>
    <w:p w:rsidR="00197902" w:rsidRDefault="00896137">
      <w:pPr>
        <w:overflowPunct w:val="0"/>
        <w:spacing w:line="360" w:lineRule="auto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>四、课程设置与授课安排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lastRenderedPageBreak/>
        <w:t>1.</w:t>
      </w:r>
      <w:r>
        <w:rPr>
          <w:rFonts w:ascii="宋体" w:hAnsi="宋体" w:hint="eastAsia"/>
          <w:sz w:val="21"/>
          <w:szCs w:val="21"/>
        </w:rPr>
        <w:t>《公务文书写作》：</w:t>
      </w:r>
      <w:r>
        <w:rPr>
          <w:rFonts w:ascii="宋体" w:hAnsi="宋体" w:hint="eastAsia"/>
          <w:sz w:val="21"/>
          <w:szCs w:val="21"/>
        </w:rPr>
        <w:t>本</w:t>
      </w:r>
      <w:proofErr w:type="gramStart"/>
      <w:r>
        <w:rPr>
          <w:rFonts w:ascii="宋体" w:hAnsi="宋体" w:hint="eastAsia"/>
          <w:sz w:val="21"/>
          <w:szCs w:val="21"/>
        </w:rPr>
        <w:t>课程</w:t>
      </w:r>
      <w:r>
        <w:rPr>
          <w:rFonts w:ascii="宋体" w:hAnsi="宋体" w:hint="eastAsia"/>
          <w:sz w:val="21"/>
          <w:szCs w:val="21"/>
        </w:rPr>
        <w:t>课程</w:t>
      </w:r>
      <w:proofErr w:type="gramEnd"/>
      <w:r>
        <w:rPr>
          <w:rFonts w:ascii="宋体" w:hAnsi="宋体" w:hint="eastAsia"/>
          <w:sz w:val="21"/>
          <w:szCs w:val="21"/>
        </w:rPr>
        <w:t>旨在通过专业能力的培养和实用性教学，提升学生的公文写作技能。课程内容涵盖了公文的基本格式、公文</w:t>
      </w:r>
      <w:r>
        <w:rPr>
          <w:rFonts w:ascii="宋体" w:hAnsi="宋体" w:hint="eastAsia"/>
          <w:sz w:val="21"/>
          <w:szCs w:val="21"/>
        </w:rPr>
        <w:t>的类型</w:t>
      </w:r>
      <w:r>
        <w:rPr>
          <w:rFonts w:ascii="宋体" w:hAnsi="宋体" w:hint="eastAsia"/>
          <w:sz w:val="21"/>
          <w:szCs w:val="21"/>
        </w:rPr>
        <w:t>、公文的行文规范、语言文字的标准与规范以及公文管理的相关规范等多个方面。通过系统性的公文写作训练，掌握各种类型和级别的公文</w:t>
      </w:r>
      <w:r>
        <w:rPr>
          <w:rFonts w:ascii="宋体" w:hAnsi="宋体" w:hint="eastAsia"/>
          <w:sz w:val="21"/>
          <w:szCs w:val="21"/>
        </w:rPr>
        <w:t>写作</w:t>
      </w:r>
      <w:r>
        <w:rPr>
          <w:rFonts w:ascii="宋体" w:hAnsi="宋体" w:hint="eastAsia"/>
          <w:sz w:val="21"/>
          <w:szCs w:val="21"/>
        </w:rPr>
        <w:t>技巧，</w:t>
      </w:r>
      <w:r>
        <w:rPr>
          <w:rFonts w:ascii="宋体" w:hAnsi="宋体" w:hint="eastAsia"/>
          <w:sz w:val="21"/>
          <w:szCs w:val="21"/>
        </w:rPr>
        <w:t>进而</w:t>
      </w:r>
      <w:r>
        <w:rPr>
          <w:rFonts w:ascii="宋体" w:hAnsi="宋体" w:hint="eastAsia"/>
          <w:sz w:val="21"/>
          <w:szCs w:val="21"/>
        </w:rPr>
        <w:t>提升自身的公文写作素养和</w:t>
      </w:r>
      <w:r>
        <w:rPr>
          <w:rFonts w:ascii="宋体" w:hAnsi="宋体" w:hint="eastAsia"/>
          <w:sz w:val="21"/>
          <w:szCs w:val="21"/>
        </w:rPr>
        <w:t>职业能力</w:t>
      </w:r>
      <w:r>
        <w:rPr>
          <w:rFonts w:ascii="宋体" w:hAnsi="宋体" w:hint="eastAsia"/>
          <w:sz w:val="21"/>
          <w:szCs w:val="21"/>
        </w:rPr>
        <w:t>。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2.</w:t>
      </w:r>
      <w:r>
        <w:rPr>
          <w:rFonts w:ascii="宋体" w:hAnsi="宋体" w:hint="eastAsia"/>
          <w:sz w:val="21"/>
          <w:szCs w:val="21"/>
        </w:rPr>
        <w:t>《申论》：课程内容结合当前的时政热点和政府工作报告等重要文件，旨在帮助学生深入理解和掌握国家政策、社会发展趋势以及政府工作重点。通过紧密结合实际案例和相关文件，提升</w:t>
      </w:r>
      <w:r>
        <w:rPr>
          <w:rFonts w:ascii="宋体" w:hAnsi="宋体" w:hint="eastAsia"/>
          <w:sz w:val="21"/>
          <w:szCs w:val="21"/>
        </w:rPr>
        <w:t>学生的阅读理解能力、综合分析能力、判断能力、提出问题和解决问题的能力、贯彻执行能力以及制定有效方案和对策的能力</w:t>
      </w:r>
      <w:r>
        <w:rPr>
          <w:rFonts w:ascii="宋体" w:hAnsi="宋体" w:hint="eastAsia"/>
          <w:sz w:val="21"/>
          <w:szCs w:val="21"/>
        </w:rPr>
        <w:t>等，</w:t>
      </w:r>
      <w:r>
        <w:rPr>
          <w:rFonts w:ascii="宋体" w:hAnsi="宋体" w:hint="eastAsia"/>
          <w:sz w:val="21"/>
          <w:szCs w:val="21"/>
        </w:rPr>
        <w:t>从而为未来的职业生涯打下坚实的基础。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3.</w:t>
      </w:r>
      <w:r>
        <w:rPr>
          <w:rFonts w:ascii="宋体" w:hAnsi="宋体" w:hint="eastAsia"/>
          <w:sz w:val="21"/>
          <w:szCs w:val="21"/>
        </w:rPr>
        <w:t>《</w:t>
      </w:r>
      <w:r>
        <w:rPr>
          <w:rFonts w:ascii="宋体" w:hAnsi="宋体" w:hint="eastAsia"/>
          <w:sz w:val="21"/>
          <w:szCs w:val="21"/>
        </w:rPr>
        <w:t>数量关系与逻辑推理</w:t>
      </w:r>
      <w:r>
        <w:rPr>
          <w:rFonts w:ascii="宋体" w:hAnsi="宋体" w:hint="eastAsia"/>
          <w:sz w:val="21"/>
          <w:szCs w:val="21"/>
        </w:rPr>
        <w:t>》</w:t>
      </w:r>
      <w:r>
        <w:rPr>
          <w:rFonts w:ascii="宋体" w:hAnsi="宋体" w:hint="eastAsia"/>
          <w:sz w:val="21"/>
          <w:szCs w:val="21"/>
        </w:rPr>
        <w:t>：</w:t>
      </w:r>
      <w:r>
        <w:rPr>
          <w:rFonts w:ascii="宋体" w:hAnsi="宋体" w:hint="eastAsia"/>
          <w:sz w:val="21"/>
          <w:szCs w:val="21"/>
        </w:rPr>
        <w:t>本课程将</w:t>
      </w:r>
      <w:r>
        <w:rPr>
          <w:rFonts w:ascii="宋体" w:hAnsi="宋体" w:hint="eastAsia"/>
          <w:sz w:val="21"/>
          <w:szCs w:val="21"/>
        </w:rPr>
        <w:t>深入探索数字和图形间的内在规律，</w:t>
      </w:r>
      <w:r>
        <w:rPr>
          <w:rFonts w:ascii="宋体" w:hAnsi="宋体" w:hint="eastAsia"/>
          <w:sz w:val="21"/>
          <w:szCs w:val="21"/>
        </w:rPr>
        <w:t>指导</w:t>
      </w:r>
      <w:r>
        <w:rPr>
          <w:rFonts w:ascii="宋体" w:hAnsi="宋体" w:hint="eastAsia"/>
          <w:sz w:val="21"/>
          <w:szCs w:val="21"/>
        </w:rPr>
        <w:t>学生如何识别和应用这些规律来解决复杂的数学问题，从而更好地理解现实世界中的数量关系</w:t>
      </w:r>
      <w:r>
        <w:rPr>
          <w:rFonts w:ascii="宋体" w:hAnsi="宋体" w:hint="eastAsia"/>
          <w:sz w:val="21"/>
          <w:szCs w:val="21"/>
        </w:rPr>
        <w:t>。</w:t>
      </w:r>
      <w:r>
        <w:rPr>
          <w:rFonts w:ascii="宋体" w:hAnsi="宋体" w:hint="eastAsia"/>
          <w:sz w:val="21"/>
          <w:szCs w:val="21"/>
        </w:rPr>
        <w:t>在面对各种问题时能够更加灵活地运用数学工具，提升逻辑思维与数据分析能力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ascii="宋体" w:hAnsi="宋体" w:hint="eastAsia"/>
          <w:sz w:val="21"/>
          <w:szCs w:val="21"/>
        </w:rPr>
        <w:t>提高工作的决策效率</w:t>
      </w:r>
      <w:r>
        <w:rPr>
          <w:rFonts w:ascii="宋体" w:hAnsi="宋体" w:hint="eastAsia"/>
          <w:sz w:val="21"/>
          <w:szCs w:val="21"/>
        </w:rPr>
        <w:t>。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4.</w:t>
      </w:r>
      <w:r>
        <w:rPr>
          <w:rFonts w:ascii="宋体" w:hAnsi="宋体" w:hint="eastAsia"/>
          <w:sz w:val="21"/>
          <w:szCs w:val="21"/>
        </w:rPr>
        <w:t>《</w:t>
      </w:r>
      <w:r>
        <w:rPr>
          <w:rFonts w:ascii="宋体" w:hAnsi="宋体" w:hint="eastAsia"/>
          <w:sz w:val="21"/>
          <w:szCs w:val="21"/>
        </w:rPr>
        <w:t>人际沟通与结构化面试》：本课程重在</w:t>
      </w:r>
      <w:r>
        <w:rPr>
          <w:rFonts w:ascii="宋体" w:hAnsi="宋体" w:hint="eastAsia"/>
          <w:sz w:val="21"/>
          <w:szCs w:val="21"/>
        </w:rPr>
        <w:t>培养学生</w:t>
      </w:r>
      <w:r>
        <w:rPr>
          <w:rFonts w:ascii="宋体" w:hAnsi="宋体" w:hint="eastAsia"/>
          <w:sz w:val="21"/>
          <w:szCs w:val="21"/>
        </w:rPr>
        <w:t>行政职业中</w:t>
      </w:r>
      <w:r>
        <w:rPr>
          <w:rFonts w:ascii="宋体" w:hAnsi="宋体" w:hint="eastAsia"/>
          <w:sz w:val="21"/>
          <w:szCs w:val="21"/>
        </w:rPr>
        <w:t>的</w:t>
      </w:r>
      <w:r>
        <w:rPr>
          <w:rFonts w:ascii="宋体" w:hAnsi="宋体" w:hint="eastAsia"/>
          <w:sz w:val="21"/>
          <w:szCs w:val="21"/>
        </w:rPr>
        <w:t>语言表达规范</w:t>
      </w:r>
      <w:r>
        <w:rPr>
          <w:rFonts w:ascii="宋体" w:hAnsi="宋体" w:hint="eastAsia"/>
          <w:sz w:val="21"/>
          <w:szCs w:val="21"/>
        </w:rPr>
        <w:t>。课程将通过正式会议、公共演讲以及结构</w:t>
      </w:r>
      <w:r>
        <w:rPr>
          <w:rFonts w:ascii="宋体" w:hAnsi="宋体" w:hint="eastAsia"/>
          <w:sz w:val="21"/>
          <w:szCs w:val="21"/>
        </w:rPr>
        <w:t>化面试</w:t>
      </w:r>
      <w:r>
        <w:rPr>
          <w:rFonts w:ascii="宋体" w:hAnsi="宋体" w:hint="eastAsia"/>
          <w:sz w:val="21"/>
          <w:szCs w:val="21"/>
        </w:rPr>
        <w:t>等</w:t>
      </w:r>
      <w:r>
        <w:rPr>
          <w:rFonts w:ascii="宋体" w:hAnsi="宋体" w:hint="eastAsia"/>
          <w:sz w:val="21"/>
          <w:szCs w:val="21"/>
        </w:rPr>
        <w:t>多种</w:t>
      </w:r>
      <w:r>
        <w:rPr>
          <w:rFonts w:ascii="宋体" w:hAnsi="宋体" w:hint="eastAsia"/>
          <w:sz w:val="21"/>
          <w:szCs w:val="21"/>
        </w:rPr>
        <w:t>行政</w:t>
      </w:r>
      <w:r>
        <w:rPr>
          <w:rFonts w:ascii="宋体" w:hAnsi="宋体" w:hint="eastAsia"/>
          <w:sz w:val="21"/>
          <w:szCs w:val="21"/>
        </w:rPr>
        <w:t>沟通</w:t>
      </w:r>
      <w:r>
        <w:rPr>
          <w:rFonts w:ascii="宋体" w:hAnsi="宋体" w:hint="eastAsia"/>
          <w:sz w:val="21"/>
          <w:szCs w:val="21"/>
        </w:rPr>
        <w:t>场景</w:t>
      </w:r>
      <w:r>
        <w:rPr>
          <w:rFonts w:ascii="宋体" w:hAnsi="宋体" w:hint="eastAsia"/>
          <w:sz w:val="21"/>
          <w:szCs w:val="21"/>
        </w:rPr>
        <w:t>的模拟，让学生在</w:t>
      </w:r>
      <w:r>
        <w:rPr>
          <w:rFonts w:ascii="宋体" w:hAnsi="宋体" w:hint="eastAsia"/>
          <w:sz w:val="21"/>
          <w:szCs w:val="21"/>
        </w:rPr>
        <w:t>实践过程</w:t>
      </w:r>
      <w:r>
        <w:rPr>
          <w:rFonts w:ascii="宋体" w:hAnsi="宋体" w:hint="eastAsia"/>
          <w:sz w:val="21"/>
          <w:szCs w:val="21"/>
        </w:rPr>
        <w:t>中提升</w:t>
      </w:r>
      <w:r>
        <w:rPr>
          <w:rFonts w:ascii="宋体" w:hAnsi="宋体" w:hint="eastAsia"/>
          <w:sz w:val="21"/>
          <w:szCs w:val="21"/>
        </w:rPr>
        <w:t>表达与</w:t>
      </w:r>
      <w:r>
        <w:rPr>
          <w:rFonts w:ascii="宋体" w:hAnsi="宋体" w:hint="eastAsia"/>
          <w:sz w:val="21"/>
          <w:szCs w:val="21"/>
        </w:rPr>
        <w:t>沟通能力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ascii="宋体" w:hAnsi="宋体" w:hint="eastAsia"/>
          <w:sz w:val="21"/>
          <w:szCs w:val="21"/>
        </w:rPr>
        <w:t>从而更好地</w:t>
      </w:r>
      <w:r>
        <w:rPr>
          <w:rFonts w:ascii="宋体" w:hAnsi="宋体" w:hint="eastAsia"/>
          <w:sz w:val="21"/>
          <w:szCs w:val="21"/>
        </w:rPr>
        <w:t>展现出专业和自信的形象。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5.</w:t>
      </w:r>
      <w:r>
        <w:rPr>
          <w:rFonts w:ascii="宋体" w:hAnsi="宋体" w:hint="eastAsia"/>
          <w:sz w:val="21"/>
          <w:szCs w:val="21"/>
        </w:rPr>
        <w:t>《文化心理知能养成》：本课程</w:t>
      </w:r>
      <w:r>
        <w:rPr>
          <w:rFonts w:ascii="宋体" w:hAnsi="宋体"/>
          <w:sz w:val="21"/>
          <w:szCs w:val="21"/>
        </w:rPr>
        <w:t>旨在提升</w:t>
      </w:r>
      <w:r>
        <w:rPr>
          <w:rFonts w:ascii="宋体" w:hAnsi="宋体" w:hint="eastAsia"/>
          <w:sz w:val="21"/>
          <w:szCs w:val="21"/>
        </w:rPr>
        <w:t>学生的</w:t>
      </w:r>
      <w:r>
        <w:rPr>
          <w:rFonts w:ascii="宋体" w:hAnsi="宋体"/>
          <w:sz w:val="21"/>
          <w:szCs w:val="21"/>
        </w:rPr>
        <w:t>文化素养和心理调适能力。通过理论讲授、小组讨论、案例分析等方式，帮助学生掌握中国传统文化、现代文化、国际文化等方面的内容，</w:t>
      </w:r>
      <w:r>
        <w:rPr>
          <w:rFonts w:ascii="宋体" w:hAnsi="宋体" w:hint="eastAsia"/>
          <w:sz w:val="21"/>
          <w:szCs w:val="21"/>
        </w:rPr>
        <w:t>从而</w:t>
      </w:r>
      <w:r>
        <w:rPr>
          <w:rFonts w:ascii="宋体" w:hAnsi="宋体"/>
          <w:sz w:val="21"/>
          <w:szCs w:val="21"/>
        </w:rPr>
        <w:t>具备多元文化的视野和素养。</w:t>
      </w:r>
    </w:p>
    <w:p w:rsidR="00197902" w:rsidRDefault="00896137">
      <w:pPr>
        <w:overflowPunct w:val="0"/>
        <w:spacing w:line="360" w:lineRule="auto"/>
        <w:ind w:firstLineChars="200" w:firstLine="420"/>
        <w:rPr>
          <w:rFonts w:ascii="黑体" w:eastAsia="黑体"/>
          <w:b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6</w:t>
      </w:r>
      <w:r>
        <w:rPr>
          <w:rFonts w:ascii="宋体" w:hAnsi="宋体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t>《</w:t>
      </w:r>
      <w:r>
        <w:rPr>
          <w:rFonts w:ascii="宋体" w:hAnsi="宋体" w:hint="eastAsia"/>
          <w:sz w:val="21"/>
          <w:szCs w:val="21"/>
        </w:rPr>
        <w:t>行政职业能力与</w:t>
      </w:r>
      <w:r>
        <w:rPr>
          <w:rFonts w:ascii="宋体" w:hAnsi="宋体"/>
          <w:sz w:val="21"/>
          <w:szCs w:val="21"/>
        </w:rPr>
        <w:t>法律素养》</w:t>
      </w:r>
      <w:r>
        <w:rPr>
          <w:rFonts w:ascii="宋体" w:hAnsi="宋体" w:hint="eastAsia"/>
          <w:sz w:val="21"/>
          <w:szCs w:val="21"/>
        </w:rPr>
        <w:t>：本课程以</w:t>
      </w:r>
      <w:r>
        <w:rPr>
          <w:rFonts w:ascii="宋体" w:hAnsi="宋体"/>
          <w:sz w:val="21"/>
          <w:szCs w:val="21"/>
        </w:rPr>
        <w:t>行政</w:t>
      </w:r>
      <w:r>
        <w:rPr>
          <w:rFonts w:ascii="宋体" w:hAnsi="宋体" w:hint="eastAsia"/>
          <w:sz w:val="21"/>
          <w:szCs w:val="21"/>
        </w:rPr>
        <w:t>职业</w:t>
      </w:r>
      <w:r>
        <w:rPr>
          <w:rFonts w:ascii="宋体" w:hAnsi="宋体"/>
          <w:sz w:val="21"/>
          <w:szCs w:val="21"/>
        </w:rPr>
        <w:t>中常见的宪法、刑法、民法、行政法等内容为基础，</w:t>
      </w:r>
      <w:r>
        <w:rPr>
          <w:rFonts w:ascii="宋体" w:hAnsi="宋体" w:hint="eastAsia"/>
          <w:sz w:val="21"/>
          <w:szCs w:val="21"/>
        </w:rPr>
        <w:t>结合具体案例，</w:t>
      </w:r>
      <w:r>
        <w:rPr>
          <w:rFonts w:ascii="宋体" w:hAnsi="宋体"/>
          <w:sz w:val="21"/>
          <w:szCs w:val="21"/>
        </w:rPr>
        <w:t>通过</w:t>
      </w:r>
      <w:proofErr w:type="gramStart"/>
      <w:r>
        <w:rPr>
          <w:rFonts w:ascii="宋体" w:hAnsi="宋体"/>
          <w:sz w:val="21"/>
          <w:szCs w:val="21"/>
        </w:rPr>
        <w:t>以题带点</w:t>
      </w:r>
      <w:proofErr w:type="gramEnd"/>
      <w:r>
        <w:rPr>
          <w:rFonts w:ascii="宋体" w:hAnsi="宋体"/>
          <w:sz w:val="21"/>
          <w:szCs w:val="21"/>
        </w:rPr>
        <w:t>、以点带面的形式对相关知识点进行深入分析，并结合有关法律常识进行实践性法治模拟。</w:t>
      </w:r>
    </w:p>
    <w:tbl>
      <w:tblPr>
        <w:tblW w:w="6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334"/>
        <w:gridCol w:w="466"/>
        <w:gridCol w:w="623"/>
        <w:gridCol w:w="623"/>
        <w:gridCol w:w="526"/>
        <w:gridCol w:w="504"/>
        <w:gridCol w:w="467"/>
        <w:gridCol w:w="480"/>
      </w:tblGrid>
      <w:tr w:rsidR="00197902">
        <w:trPr>
          <w:cantSplit/>
          <w:tblHeader/>
          <w:jc w:val="center"/>
        </w:trPr>
        <w:tc>
          <w:tcPr>
            <w:tcW w:w="2334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466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学分</w:t>
            </w:r>
          </w:p>
        </w:tc>
        <w:tc>
          <w:tcPr>
            <w:tcW w:w="17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总学时</w:t>
            </w:r>
          </w:p>
        </w:tc>
        <w:tc>
          <w:tcPr>
            <w:tcW w:w="145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197902" w:rsidRDefault="00896137">
            <w:pPr>
              <w:overflowPunct w:val="0"/>
              <w:snapToGrid w:val="0"/>
              <w:ind w:firstLineChars="200" w:firstLine="361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学习时间</w:t>
            </w:r>
          </w:p>
        </w:tc>
      </w:tr>
      <w:tr w:rsidR="00197902">
        <w:trPr>
          <w:cantSplit/>
          <w:tblHeader/>
          <w:jc w:val="center"/>
        </w:trPr>
        <w:tc>
          <w:tcPr>
            <w:tcW w:w="2334" w:type="dxa"/>
            <w:vMerge/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466" w:type="dxa"/>
            <w:vMerge/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合计</w:t>
            </w:r>
          </w:p>
        </w:tc>
        <w:tc>
          <w:tcPr>
            <w:tcW w:w="623" w:type="dxa"/>
            <w:vMerge w:val="restart"/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理论</w:t>
            </w:r>
          </w:p>
        </w:tc>
        <w:tc>
          <w:tcPr>
            <w:tcW w:w="526" w:type="dxa"/>
            <w:vMerge w:val="restar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实践</w:t>
            </w:r>
          </w:p>
        </w:tc>
        <w:tc>
          <w:tcPr>
            <w:tcW w:w="1451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第二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或三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学年</w:t>
            </w:r>
          </w:p>
        </w:tc>
      </w:tr>
      <w:tr w:rsidR="00197902">
        <w:trPr>
          <w:cantSplit/>
          <w:tblHeader/>
          <w:jc w:val="center"/>
        </w:trPr>
        <w:tc>
          <w:tcPr>
            <w:tcW w:w="2334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46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623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2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5"/>
                <w:szCs w:val="15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秋</w:t>
            </w:r>
          </w:p>
        </w:tc>
        <w:tc>
          <w:tcPr>
            <w:tcW w:w="46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春</w:t>
            </w:r>
          </w:p>
        </w:tc>
        <w:tc>
          <w:tcPr>
            <w:tcW w:w="480" w:type="dxa"/>
            <w:tcBorders>
              <w:bottom w:val="single" w:sz="12" w:space="0" w:color="auto"/>
            </w:tcBorders>
            <w:shd w:val="clear" w:color="auto" w:fill="D9D9D9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夏</w:t>
            </w: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公务文书写作</w:t>
            </w: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申论</w:t>
            </w:r>
            <w:proofErr w:type="gramEnd"/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数量关系与逻辑推理</w:t>
            </w: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人际沟通与结构化面试</w:t>
            </w: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文化心理知能养成</w:t>
            </w: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97902">
        <w:trPr>
          <w:cantSplit/>
          <w:jc w:val="center"/>
        </w:trPr>
        <w:tc>
          <w:tcPr>
            <w:tcW w:w="23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行政职业能力与法律素养</w:t>
            </w:r>
          </w:p>
        </w:tc>
        <w:tc>
          <w:tcPr>
            <w:tcW w:w="4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6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7902" w:rsidRDefault="00896137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97902" w:rsidRDefault="00197902">
            <w:pPr>
              <w:overflowPunct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197902" w:rsidRDefault="00197902">
      <w:pPr>
        <w:overflowPunct w:val="0"/>
        <w:spacing w:beforeLines="50" w:before="120" w:line="360" w:lineRule="auto"/>
        <w:jc w:val="both"/>
        <w:rPr>
          <w:rFonts w:ascii="黑体" w:eastAsia="黑体"/>
          <w:b/>
          <w:sz w:val="21"/>
          <w:szCs w:val="21"/>
        </w:rPr>
      </w:pPr>
    </w:p>
    <w:p w:rsidR="00197902" w:rsidRDefault="00896137">
      <w:pPr>
        <w:overflowPunct w:val="0"/>
        <w:spacing w:beforeLines="50" w:before="120" w:line="360" w:lineRule="auto"/>
        <w:jc w:val="both"/>
        <w:rPr>
          <w:rFonts w:ascii="黑体" w:eastAsia="黑体"/>
          <w:b/>
          <w:sz w:val="21"/>
          <w:szCs w:val="21"/>
        </w:rPr>
      </w:pPr>
      <w:r>
        <w:rPr>
          <w:rFonts w:ascii="黑体" w:eastAsia="黑体" w:hint="eastAsia"/>
          <w:b/>
          <w:sz w:val="21"/>
          <w:szCs w:val="21"/>
        </w:rPr>
        <w:t>五</w:t>
      </w:r>
      <w:r>
        <w:rPr>
          <w:rFonts w:ascii="黑体" w:eastAsia="黑体" w:hint="eastAsia"/>
          <w:b/>
          <w:sz w:val="21"/>
          <w:szCs w:val="21"/>
        </w:rPr>
        <w:t>、课程结构与学分要求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2281"/>
        <w:gridCol w:w="2972"/>
      </w:tblGrid>
      <w:tr w:rsidR="00197902">
        <w:trPr>
          <w:jc w:val="center"/>
        </w:trPr>
        <w:tc>
          <w:tcPr>
            <w:tcW w:w="2656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课程类别</w:t>
            </w:r>
          </w:p>
        </w:tc>
        <w:tc>
          <w:tcPr>
            <w:tcW w:w="2281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应修学分数</w:t>
            </w:r>
          </w:p>
        </w:tc>
        <w:tc>
          <w:tcPr>
            <w:tcW w:w="2972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课程名称</w:t>
            </w:r>
          </w:p>
        </w:tc>
      </w:tr>
      <w:tr w:rsidR="00197902">
        <w:trPr>
          <w:jc w:val="center"/>
        </w:trPr>
        <w:tc>
          <w:tcPr>
            <w:tcW w:w="2656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必修</w:t>
            </w:r>
          </w:p>
        </w:tc>
        <w:tc>
          <w:tcPr>
            <w:tcW w:w="2281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6</w:t>
            </w:r>
          </w:p>
        </w:tc>
        <w:tc>
          <w:tcPr>
            <w:tcW w:w="2972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bCs/>
                <w:kern w:val="2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公务文书写作、申论、人际沟通与结构化面试</w:t>
            </w:r>
          </w:p>
        </w:tc>
      </w:tr>
      <w:tr w:rsidR="00197902">
        <w:trPr>
          <w:jc w:val="center"/>
        </w:trPr>
        <w:tc>
          <w:tcPr>
            <w:tcW w:w="2656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选修</w:t>
            </w:r>
          </w:p>
        </w:tc>
        <w:tc>
          <w:tcPr>
            <w:tcW w:w="2281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kern w:val="2"/>
                <w:sz w:val="18"/>
                <w:szCs w:val="21"/>
              </w:rPr>
            </w:pPr>
            <w:r>
              <w:rPr>
                <w:rFonts w:ascii="黑体" w:eastAsia="黑体" w:hint="eastAsia"/>
                <w:b/>
                <w:kern w:val="2"/>
                <w:sz w:val="18"/>
                <w:szCs w:val="21"/>
              </w:rPr>
              <w:t>6</w:t>
            </w:r>
          </w:p>
        </w:tc>
        <w:tc>
          <w:tcPr>
            <w:tcW w:w="2972" w:type="dxa"/>
          </w:tcPr>
          <w:p w:rsidR="00197902" w:rsidRDefault="00896137">
            <w:pPr>
              <w:overflowPunct w:val="0"/>
              <w:spacing w:beforeLines="50" w:before="120" w:line="360" w:lineRule="auto"/>
              <w:jc w:val="center"/>
              <w:rPr>
                <w:rFonts w:ascii="黑体" w:eastAsia="黑体"/>
                <w:b/>
                <w:bCs/>
                <w:kern w:val="2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数量关系与逻辑推理、文化心理知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lastRenderedPageBreak/>
              <w:t>能养成、行政职业能力与法律素养</w:t>
            </w:r>
          </w:p>
        </w:tc>
      </w:tr>
    </w:tbl>
    <w:p w:rsidR="00197902" w:rsidRDefault="00197902">
      <w:pPr>
        <w:overflowPunct w:val="0"/>
        <w:spacing w:line="360" w:lineRule="auto"/>
        <w:rPr>
          <w:rFonts w:ascii="黑体" w:eastAsia="黑体" w:hAnsi="黑体"/>
          <w:b/>
          <w:sz w:val="21"/>
          <w:szCs w:val="21"/>
        </w:rPr>
      </w:pPr>
    </w:p>
    <w:p w:rsidR="008A0BA6" w:rsidRDefault="008A0BA6" w:rsidP="008A0BA6">
      <w:pPr>
        <w:overflowPunct w:val="0"/>
        <w:spacing w:line="360" w:lineRule="auto"/>
        <w:ind w:firstLineChars="200" w:firstLine="480"/>
        <w:rPr>
          <w:rFonts w:ascii="黑体" w:eastAsia="黑体" w:hAnsi="黑体" w:hint="eastAsia"/>
          <w:b/>
          <w:sz w:val="21"/>
          <w:szCs w:val="21"/>
        </w:rPr>
      </w:pPr>
      <w:r>
        <w:rPr>
          <w:rFonts w:ascii="仿宋" w:eastAsia="仿宋" w:hAnsi="仿宋" w:cs="宋体" w:hint="eastAsia"/>
          <w:bCs/>
          <w:color w:val="FF0000"/>
          <w:highlight w:val="yellow"/>
        </w:rPr>
        <w:t>*微专业学分按照课程性质</w:t>
      </w:r>
      <w:r>
        <w:rPr>
          <w:rFonts w:ascii="仿宋" w:eastAsia="仿宋" w:hAnsi="仿宋" w:cs="宋体" w:hint="eastAsia"/>
          <w:bCs/>
          <w:color w:val="FF0000"/>
          <w:highlight w:val="yellow"/>
        </w:rPr>
        <w:t>可抵充</w:t>
      </w:r>
      <w:r>
        <w:rPr>
          <w:rFonts w:ascii="仿宋" w:eastAsia="仿宋" w:hAnsi="仿宋" w:cs="宋体" w:hint="eastAsia"/>
          <w:bCs/>
          <w:color w:val="FF0000"/>
          <w:highlight w:val="yellow"/>
        </w:rPr>
        <w:t>通识教育模块下通识选修课学分或</w:t>
      </w:r>
      <w:r>
        <w:rPr>
          <w:rFonts w:ascii="仿宋" w:eastAsia="仿宋" w:hAnsi="仿宋" w:cs="宋体" w:hint="eastAsia"/>
          <w:bCs/>
          <w:color w:val="FF0000"/>
          <w:highlight w:val="yellow"/>
        </w:rPr>
        <w:t>专业选修课模块下开放选修课学分</w:t>
      </w:r>
      <w:r w:rsidR="009A7079">
        <w:rPr>
          <w:rFonts w:ascii="仿宋" w:eastAsia="仿宋" w:hAnsi="仿宋" w:cs="宋体" w:hint="eastAsia"/>
          <w:bCs/>
          <w:color w:val="FF0000"/>
          <w:highlight w:val="yellow"/>
        </w:rPr>
        <w:t>。</w:t>
      </w:r>
      <w:bookmarkStart w:id="0" w:name="_GoBack"/>
      <w:bookmarkEnd w:id="0"/>
    </w:p>
    <w:p w:rsidR="00197902" w:rsidRDefault="00896137">
      <w:pPr>
        <w:overflowPunct w:val="0"/>
        <w:spacing w:line="360" w:lineRule="auto"/>
        <w:rPr>
          <w:rFonts w:ascii="黑体" w:eastAsia="黑体" w:hAnsi="黑体"/>
          <w:b/>
          <w:sz w:val="21"/>
          <w:szCs w:val="21"/>
        </w:rPr>
      </w:pPr>
      <w:r>
        <w:rPr>
          <w:rFonts w:ascii="黑体" w:eastAsia="黑体" w:hAnsi="黑体" w:hint="eastAsia"/>
          <w:b/>
          <w:sz w:val="21"/>
          <w:szCs w:val="21"/>
        </w:rPr>
        <w:t>六、招生对象与报名方式</w:t>
      </w:r>
    </w:p>
    <w:p w:rsidR="00197902" w:rsidRDefault="00896137">
      <w:pPr>
        <w:numPr>
          <w:ilvl w:val="0"/>
          <w:numId w:val="1"/>
        </w:num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有志于提升行政职业能力的</w:t>
      </w:r>
      <w:r>
        <w:rPr>
          <w:rFonts w:ascii="宋体" w:hAnsi="宋体" w:hint="eastAsia"/>
          <w:sz w:val="21"/>
          <w:szCs w:val="21"/>
        </w:rPr>
        <w:t>我校大</w:t>
      </w:r>
      <w:proofErr w:type="gramStart"/>
      <w:r>
        <w:rPr>
          <w:rFonts w:ascii="宋体" w:hAnsi="宋体" w:hint="eastAsia"/>
          <w:sz w:val="21"/>
          <w:szCs w:val="21"/>
        </w:rPr>
        <w:t>一</w:t>
      </w:r>
      <w:proofErr w:type="gramEnd"/>
      <w:r>
        <w:rPr>
          <w:rFonts w:ascii="宋体" w:hAnsi="宋体" w:hint="eastAsia"/>
          <w:sz w:val="21"/>
          <w:szCs w:val="21"/>
        </w:rPr>
        <w:t>在读学生</w:t>
      </w:r>
      <w:r>
        <w:rPr>
          <w:rFonts w:ascii="宋体" w:hAnsi="宋体" w:hint="eastAsia"/>
          <w:sz w:val="21"/>
          <w:szCs w:val="21"/>
        </w:rPr>
        <w:t>。</w:t>
      </w:r>
    </w:p>
    <w:p w:rsidR="00197902" w:rsidRDefault="00896137">
      <w:pPr>
        <w:numPr>
          <w:ilvl w:val="0"/>
          <w:numId w:val="1"/>
        </w:num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每周二下午</w:t>
      </w:r>
      <w:r>
        <w:rPr>
          <w:rFonts w:ascii="宋体" w:hAnsi="宋体"/>
          <w:sz w:val="21"/>
          <w:szCs w:val="21"/>
        </w:rPr>
        <w:t>13:00</w:t>
      </w:r>
      <w:r>
        <w:rPr>
          <w:rFonts w:ascii="宋体" w:hAnsi="宋体" w:hint="eastAsia"/>
          <w:sz w:val="21"/>
          <w:szCs w:val="21"/>
        </w:rPr>
        <w:t>—</w:t>
      </w:r>
      <w:r>
        <w:rPr>
          <w:rFonts w:ascii="宋体" w:hAnsi="宋体"/>
          <w:sz w:val="21"/>
          <w:szCs w:val="21"/>
        </w:rPr>
        <w:t>16:00</w:t>
      </w:r>
      <w:r>
        <w:rPr>
          <w:rFonts w:ascii="宋体" w:hAnsi="宋体"/>
          <w:sz w:val="21"/>
          <w:szCs w:val="21"/>
        </w:rPr>
        <w:t>在行政楼</w:t>
      </w:r>
      <w:r>
        <w:rPr>
          <w:rFonts w:ascii="宋体" w:hAnsi="宋体"/>
          <w:sz w:val="21"/>
          <w:szCs w:val="21"/>
        </w:rPr>
        <w:t>608</w:t>
      </w:r>
      <w:r>
        <w:rPr>
          <w:rFonts w:ascii="宋体" w:hAnsi="宋体"/>
          <w:sz w:val="21"/>
          <w:szCs w:val="21"/>
        </w:rPr>
        <w:t>室接待来访，有本专业老师提供相关咨询服务。</w:t>
      </w:r>
      <w:r>
        <w:rPr>
          <w:rFonts w:ascii="宋体" w:hAnsi="宋体" w:hint="eastAsia"/>
          <w:sz w:val="21"/>
          <w:szCs w:val="21"/>
        </w:rPr>
        <w:t>扫描“</w:t>
      </w:r>
      <w:r>
        <w:rPr>
          <w:rFonts w:ascii="宋体" w:hAnsi="宋体" w:hint="eastAsia"/>
          <w:sz w:val="21"/>
          <w:szCs w:val="21"/>
        </w:rPr>
        <w:t>2025</w:t>
      </w:r>
      <w:r>
        <w:rPr>
          <w:rFonts w:ascii="宋体" w:hAnsi="宋体" w:hint="eastAsia"/>
          <w:sz w:val="21"/>
          <w:szCs w:val="21"/>
        </w:rPr>
        <w:t>上商行政职业素养与能力</w:t>
      </w:r>
      <w:r>
        <w:rPr>
          <w:rFonts w:ascii="宋体" w:hAnsi="宋体" w:hint="eastAsia"/>
          <w:sz w:val="21"/>
          <w:szCs w:val="21"/>
        </w:rPr>
        <w:t>微专业</w:t>
      </w:r>
      <w:r>
        <w:rPr>
          <w:rFonts w:ascii="宋体" w:hAnsi="宋体" w:hint="eastAsia"/>
          <w:sz w:val="21"/>
          <w:szCs w:val="21"/>
        </w:rPr>
        <w:t>”</w:t>
      </w:r>
      <w:proofErr w:type="gramStart"/>
      <w:r>
        <w:rPr>
          <w:rFonts w:ascii="宋体" w:hAnsi="宋体" w:hint="eastAsia"/>
          <w:sz w:val="21"/>
          <w:szCs w:val="21"/>
        </w:rPr>
        <w:t>群二维</w:t>
      </w:r>
      <w:proofErr w:type="gramEnd"/>
      <w:r>
        <w:rPr>
          <w:rFonts w:ascii="宋体" w:hAnsi="宋体" w:hint="eastAsia"/>
          <w:sz w:val="21"/>
          <w:szCs w:val="21"/>
        </w:rPr>
        <w:t>码</w:t>
      </w:r>
      <w:r>
        <w:rPr>
          <w:rFonts w:ascii="宋体" w:hAnsi="宋体" w:hint="eastAsia"/>
          <w:sz w:val="21"/>
          <w:szCs w:val="21"/>
        </w:rPr>
        <w:t>（群号：</w:t>
      </w:r>
      <w:r>
        <w:rPr>
          <w:rFonts w:ascii="宋体" w:hAnsi="宋体" w:hint="eastAsia"/>
          <w:sz w:val="21"/>
          <w:szCs w:val="21"/>
        </w:rPr>
        <w:t>273072210</w:t>
      </w:r>
      <w:r>
        <w:rPr>
          <w:rFonts w:ascii="宋体" w:hAnsi="宋体" w:hint="eastAsia"/>
          <w:sz w:val="21"/>
          <w:szCs w:val="21"/>
        </w:rPr>
        <w:t>）</w:t>
      </w:r>
      <w:r>
        <w:rPr>
          <w:rFonts w:ascii="宋体" w:hAnsi="宋体" w:hint="eastAsia"/>
          <w:sz w:val="21"/>
          <w:szCs w:val="21"/>
        </w:rPr>
        <w:t>，实名加入专业群，在</w:t>
      </w:r>
      <w:r>
        <w:rPr>
          <w:rFonts w:ascii="宋体" w:hAnsi="宋体" w:hint="eastAsia"/>
          <w:sz w:val="21"/>
          <w:szCs w:val="21"/>
        </w:rPr>
        <w:t>QQ</w:t>
      </w:r>
      <w:r>
        <w:rPr>
          <w:rFonts w:ascii="宋体" w:hAnsi="宋体" w:hint="eastAsia"/>
          <w:sz w:val="21"/>
          <w:szCs w:val="21"/>
        </w:rPr>
        <w:t>群中咨询相关信息</w:t>
      </w:r>
      <w:r>
        <w:rPr>
          <w:rFonts w:ascii="宋体" w:hAnsi="宋体" w:hint="eastAsia"/>
          <w:sz w:val="21"/>
          <w:szCs w:val="21"/>
        </w:rPr>
        <w:t>，并</w:t>
      </w:r>
      <w:r>
        <w:rPr>
          <w:rFonts w:ascii="宋体" w:hAnsi="宋体" w:hint="eastAsia"/>
          <w:sz w:val="21"/>
          <w:szCs w:val="21"/>
        </w:rPr>
        <w:t>在报名日期截止前将相关材料递交到行政楼</w:t>
      </w:r>
      <w:r>
        <w:rPr>
          <w:rFonts w:ascii="宋体" w:hAnsi="宋体" w:hint="eastAsia"/>
          <w:sz w:val="21"/>
          <w:szCs w:val="21"/>
        </w:rPr>
        <w:t>608</w:t>
      </w:r>
      <w:r>
        <w:rPr>
          <w:rFonts w:ascii="宋体" w:hAnsi="宋体" w:hint="eastAsia"/>
          <w:sz w:val="21"/>
          <w:szCs w:val="21"/>
        </w:rPr>
        <w:t>室。</w:t>
      </w:r>
    </w:p>
    <w:p w:rsidR="00197902" w:rsidRDefault="00896137">
      <w:pPr>
        <w:numPr>
          <w:ilvl w:val="0"/>
          <w:numId w:val="1"/>
        </w:numPr>
        <w:overflowPunct w:val="0"/>
        <w:spacing w:line="360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报名二维码：</w:t>
      </w:r>
    </w:p>
    <w:p w:rsidR="00197902" w:rsidRDefault="00896137">
      <w:pPr>
        <w:overflowPunct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noProof/>
          <w:sz w:val="21"/>
          <w:szCs w:val="21"/>
        </w:rPr>
        <w:drawing>
          <wp:inline distT="0" distB="0" distL="114300" distR="114300">
            <wp:extent cx="5128260" cy="5965825"/>
            <wp:effectExtent l="0" t="0" r="2540" b="3175"/>
            <wp:docPr id="1" name="图片 1" descr="WechatIMG1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19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596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902">
      <w:headerReference w:type="default" r:id="rId8"/>
      <w:pgSz w:w="11907" w:h="16840"/>
      <w:pgMar w:top="1600" w:right="1500" w:bottom="160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137" w:rsidRDefault="00896137">
      <w:r>
        <w:separator/>
      </w:r>
    </w:p>
  </w:endnote>
  <w:endnote w:type="continuationSeparator" w:id="0">
    <w:p w:rsidR="00896137" w:rsidRDefault="0089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gfang sc">
    <w:charset w:val="86"/>
    <w:family w:val="auto"/>
    <w:pitch w:val="default"/>
    <w:sig w:usb0="A00002FF" w:usb1="7ACFFDFB" w:usb2="00000017" w:usb3="00000000" w:csb0="00040001" w:csb1="00000000"/>
  </w:font>
  <w:font w:name="Helvetica Neue">
    <w:charset w:val="00"/>
    <w:family w:val="auto"/>
    <w:pitch w:val="default"/>
    <w:sig w:usb0="E50002FF" w:usb1="500079DB" w:usb2="0000001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137" w:rsidRDefault="00896137">
      <w:r>
        <w:separator/>
      </w:r>
    </w:p>
  </w:footnote>
  <w:footnote w:type="continuationSeparator" w:id="0">
    <w:p w:rsidR="00896137" w:rsidRDefault="0089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902" w:rsidRDefault="00197902">
    <w:pPr>
      <w:pStyle w:val="a3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FB18B3"/>
    <w:multiLevelType w:val="singleLevel"/>
    <w:tmpl w:val="CBFB18B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ZjMDVlZGYwZDFmY2NhYjhkYzc1MDE3MzA0MDE5ZjkifQ=="/>
  </w:docVars>
  <w:rsids>
    <w:rsidRoot w:val="240F5F27"/>
    <w:rsid w:val="B9FD3C25"/>
    <w:rsid w:val="D3AFE338"/>
    <w:rsid w:val="DDB5F890"/>
    <w:rsid w:val="EBF68EDF"/>
    <w:rsid w:val="EC3F7206"/>
    <w:rsid w:val="F9EFB027"/>
    <w:rsid w:val="FFAFD61E"/>
    <w:rsid w:val="FFDFBA8D"/>
    <w:rsid w:val="FFEEC505"/>
    <w:rsid w:val="00197902"/>
    <w:rsid w:val="00896137"/>
    <w:rsid w:val="008A0BA6"/>
    <w:rsid w:val="009A7079"/>
    <w:rsid w:val="06F0725F"/>
    <w:rsid w:val="0B531CEE"/>
    <w:rsid w:val="0CEFF935"/>
    <w:rsid w:val="10F949C9"/>
    <w:rsid w:val="129A5FE4"/>
    <w:rsid w:val="1F014CC5"/>
    <w:rsid w:val="203942EC"/>
    <w:rsid w:val="240F5F27"/>
    <w:rsid w:val="252F2174"/>
    <w:rsid w:val="258D2BFC"/>
    <w:rsid w:val="26BDC567"/>
    <w:rsid w:val="2A0F7B8F"/>
    <w:rsid w:val="34D2402D"/>
    <w:rsid w:val="377E4E9D"/>
    <w:rsid w:val="37AF5D1D"/>
    <w:rsid w:val="3D263EFE"/>
    <w:rsid w:val="49A92821"/>
    <w:rsid w:val="49CB1BAA"/>
    <w:rsid w:val="52B85BC6"/>
    <w:rsid w:val="5BBBBDED"/>
    <w:rsid w:val="5F2E757B"/>
    <w:rsid w:val="63400ABB"/>
    <w:rsid w:val="74BE6C55"/>
    <w:rsid w:val="79DF0CE6"/>
    <w:rsid w:val="7B8FE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B463AB"/>
  <w15:docId w15:val="{CAAD4075-3649-4AD2-801E-15F3600F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9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="Calibri" w:hAnsi="Calibri"/>
      <w:color w:val="auto"/>
      <w:kern w:val="2"/>
      <w:sz w:val="18"/>
      <w:szCs w:val="18"/>
    </w:rPr>
  </w:style>
  <w:style w:type="paragraph" w:styleId="a4">
    <w:name w:val="Normal (Web)"/>
    <w:basedOn w:val="a"/>
  </w:style>
  <w:style w:type="paragraph" w:customStyle="1" w:styleId="p3">
    <w:name w:val="p3"/>
    <w:basedOn w:val="a"/>
    <w:rPr>
      <w:rFonts w:ascii="pingfang sc" w:eastAsia="pingfang sc" w:hAnsi="pingfang sc"/>
      <w:sz w:val="26"/>
      <w:szCs w:val="26"/>
    </w:rPr>
  </w:style>
  <w:style w:type="paragraph" w:customStyle="1" w:styleId="p1">
    <w:name w:val="p1"/>
    <w:basedOn w:val="a"/>
    <w:rPr>
      <w:rFonts w:ascii="Helvetica Neue" w:eastAsia="Helvetica Neue" w:hAnsi="Helvetica Neue"/>
      <w:sz w:val="26"/>
      <w:szCs w:val="26"/>
    </w:rPr>
  </w:style>
  <w:style w:type="character" w:customStyle="1" w:styleId="s1">
    <w:name w:val="s1"/>
    <w:basedOn w:val="a0"/>
    <w:rPr>
      <w:rFonts w:ascii="Helvetica Neue" w:eastAsia="Helvetica Neue" w:hAnsi="Helvetica Neue" w:cs="Helvetica Neue" w:hint="default"/>
      <w:sz w:val="26"/>
      <w:szCs w:val="26"/>
    </w:rPr>
  </w:style>
  <w:style w:type="paragraph" w:customStyle="1" w:styleId="p2">
    <w:name w:val="p2"/>
    <w:basedOn w:val="a"/>
    <w:rPr>
      <w:rFonts w:ascii="Helvetica Neue" w:eastAsia="Helvetica Neue" w:hAnsi="Helvetica Neu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王婷</dc:creator>
  <cp:lastModifiedBy>Rong Tan</cp:lastModifiedBy>
  <cp:revision>3</cp:revision>
  <dcterms:created xsi:type="dcterms:W3CDTF">2024-11-11T23:58:00Z</dcterms:created>
  <dcterms:modified xsi:type="dcterms:W3CDTF">2025-04-15T09:28:00Z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9595193D141373E9F1E5FD67F76E91FC_43</vt:lpwstr>
  </property>
</Properties>
</file>