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876EACC">
      <w:pPr>
        <w:jc w:val="center"/>
        <w:rPr>
          <w:rFonts w:hint="eastAsia"/>
          <w:b/>
          <w:sz w:val="28"/>
          <w:szCs w:val="28"/>
        </w:rPr>
      </w:pPr>
    </w:p>
    <w:p w14:paraId="5FEF6415">
      <w:pPr>
        <w:jc w:val="center"/>
        <w:rPr>
          <w:rFonts w:hint="eastAsia"/>
          <w:b/>
          <w:bCs w:val="0"/>
          <w:sz w:val="32"/>
          <w:szCs w:val="32"/>
          <w:lang w:val="en-US" w:eastAsia="zh-CN"/>
        </w:rPr>
      </w:pPr>
      <w:r>
        <w:rPr>
          <w:rFonts w:hint="eastAsia"/>
          <w:b/>
          <w:bCs w:val="0"/>
          <w:sz w:val="32"/>
          <w:szCs w:val="32"/>
          <w:lang w:val="en-US" w:eastAsia="zh-CN"/>
        </w:rPr>
        <w:t>智慧</w:t>
      </w:r>
      <w:r>
        <w:rPr>
          <w:b/>
          <w:bCs w:val="0"/>
          <w:sz w:val="32"/>
          <w:szCs w:val="32"/>
        </w:rPr>
        <w:t>物流</w:t>
      </w:r>
      <w:r>
        <w:rPr>
          <w:rFonts w:hint="eastAsia"/>
          <w:b/>
          <w:bCs w:val="0"/>
          <w:sz w:val="32"/>
          <w:szCs w:val="32"/>
          <w:lang w:val="en-US" w:eastAsia="zh-CN"/>
        </w:rPr>
        <w:t>微</w:t>
      </w:r>
      <w:r>
        <w:rPr>
          <w:rFonts w:hint="eastAsia"/>
          <w:b/>
          <w:bCs w:val="0"/>
          <w:sz w:val="32"/>
          <w:szCs w:val="32"/>
        </w:rPr>
        <w:t>专</w:t>
      </w:r>
      <w:r>
        <w:rPr>
          <w:rFonts w:hint="eastAsia"/>
          <w:b/>
          <w:bCs w:val="0"/>
          <w:sz w:val="32"/>
          <w:szCs w:val="32"/>
          <w:lang w:val="en-US" w:eastAsia="zh-CN"/>
        </w:rPr>
        <w:t>业</w:t>
      </w:r>
    </w:p>
    <w:p w14:paraId="6DEC51CB">
      <w:pPr>
        <w:jc w:val="center"/>
        <w:rPr>
          <w:rFonts w:hint="default"/>
          <w:b/>
          <w:bCs w:val="0"/>
          <w:sz w:val="32"/>
          <w:szCs w:val="32"/>
          <w:lang w:val="en-US" w:eastAsia="zh-CN"/>
        </w:rPr>
      </w:pPr>
      <w:r>
        <w:rPr>
          <w:rFonts w:hint="eastAsia"/>
          <w:b/>
          <w:bCs w:val="0"/>
          <w:sz w:val="32"/>
          <w:szCs w:val="32"/>
          <w:lang w:val="en-US" w:eastAsia="zh-CN"/>
        </w:rPr>
        <w:t>招生简章</w:t>
      </w:r>
    </w:p>
    <w:p w14:paraId="4C5BB9A7">
      <w:pPr>
        <w:spacing w:line="400" w:lineRule="exact"/>
        <w:jc w:val="center"/>
        <w:rPr>
          <w:rFonts w:ascii="Times New Roman" w:hAnsi="Times New Roman"/>
          <w:b/>
          <w:sz w:val="36"/>
          <w:szCs w:val="36"/>
        </w:rPr>
      </w:pPr>
    </w:p>
    <w:p w14:paraId="2257DE9B">
      <w:pPr>
        <w:ind w:firstLine="420"/>
        <w:jc w:val="center"/>
        <w:rPr>
          <w:rFonts w:hint="eastAsia"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美好新生活，</w:t>
      </w:r>
    </w:p>
    <w:p w14:paraId="735DE2E2">
      <w:pPr>
        <w:ind w:firstLine="420"/>
        <w:jc w:val="center"/>
        <w:rPr>
          <w:rFonts w:hint="eastAsia"/>
          <w:b/>
        </w:rPr>
      </w:pPr>
      <w:r>
        <w:rPr>
          <w:rFonts w:hint="eastAsia" w:ascii="仿宋" w:hAnsi="仿宋" w:eastAsia="仿宋"/>
          <w:b/>
          <w:sz w:val="28"/>
          <w:szCs w:val="28"/>
        </w:rPr>
        <w:t>从</w:t>
      </w:r>
      <w:r>
        <w:rPr>
          <w:rFonts w:hint="eastAsia" w:ascii="仿宋" w:hAnsi="仿宋" w:eastAsia="仿宋"/>
          <w:b/>
          <w:sz w:val="28"/>
          <w:szCs w:val="28"/>
          <w:lang w:val="en-US" w:eastAsia="zh-CN"/>
        </w:rPr>
        <w:t>智慧</w:t>
      </w:r>
      <w:r>
        <w:rPr>
          <w:rFonts w:hint="eastAsia" w:ascii="仿宋" w:hAnsi="仿宋" w:eastAsia="仿宋"/>
          <w:b/>
          <w:sz w:val="28"/>
          <w:szCs w:val="28"/>
        </w:rPr>
        <w:t>物流</w:t>
      </w:r>
      <w:r>
        <w:rPr>
          <w:rFonts w:hint="eastAsia" w:ascii="仿宋" w:hAnsi="仿宋" w:eastAsia="仿宋"/>
          <w:b/>
          <w:sz w:val="28"/>
          <w:szCs w:val="28"/>
          <w:lang w:eastAsia="zh-CN"/>
        </w:rPr>
        <w:t>（</w:t>
      </w:r>
      <w:r>
        <w:rPr>
          <w:rFonts w:hint="eastAsia" w:ascii="仿宋" w:hAnsi="仿宋" w:eastAsia="仿宋"/>
          <w:b/>
          <w:sz w:val="28"/>
          <w:szCs w:val="28"/>
          <w:lang w:val="en-US" w:eastAsia="zh-CN"/>
        </w:rPr>
        <w:t>低空经济</w:t>
      </w:r>
      <w:r>
        <w:rPr>
          <w:rFonts w:hint="eastAsia" w:ascii="仿宋" w:hAnsi="仿宋" w:eastAsia="仿宋"/>
          <w:b/>
          <w:sz w:val="28"/>
          <w:szCs w:val="28"/>
          <w:lang w:eastAsia="zh-CN"/>
        </w:rPr>
        <w:t>）</w:t>
      </w:r>
      <w:r>
        <w:rPr>
          <w:rFonts w:hint="eastAsia" w:ascii="仿宋" w:hAnsi="仿宋" w:eastAsia="仿宋"/>
          <w:b/>
          <w:sz w:val="28"/>
          <w:szCs w:val="28"/>
        </w:rPr>
        <w:t>开始</w:t>
      </w:r>
      <w:r>
        <w:rPr>
          <w:rFonts w:hint="eastAsia"/>
          <w:b/>
        </w:rPr>
        <w:t>。</w:t>
      </w:r>
    </w:p>
    <w:p w14:paraId="4F2A0FB4">
      <w:pPr>
        <w:jc w:val="center"/>
        <w:rPr>
          <w:rFonts w:hint="eastAsia"/>
          <w:sz w:val="32"/>
        </w:rPr>
      </w:pPr>
      <w:r>
        <w:drawing>
          <wp:inline distT="0" distB="0" distL="114300" distR="114300">
            <wp:extent cx="3372485" cy="1959610"/>
            <wp:effectExtent l="0" t="0" r="5715" b="889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72485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387725" cy="593090"/>
            <wp:effectExtent l="0" t="0" r="3175" b="381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87725" cy="59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D54D62">
      <w:pPr>
        <w:jc w:val="center"/>
        <w:rPr>
          <w:rFonts w:hint="eastAsia"/>
        </w:rPr>
      </w:pPr>
      <w:r>
        <w:drawing>
          <wp:inline distT="0" distB="0" distL="114300" distR="114300">
            <wp:extent cx="3412490" cy="541020"/>
            <wp:effectExtent l="0" t="0" r="3810" b="508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12490" cy="54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B33BC3">
      <w:pPr>
        <w:jc w:val="center"/>
        <w:rPr>
          <w:rFonts w:hint="eastAsia" w:eastAsiaTheme="minorEastAsia"/>
          <w:sz w:val="32"/>
          <w:lang w:eastAsia="zh-CN"/>
        </w:rPr>
      </w:pPr>
      <w:r>
        <w:rPr>
          <w:rFonts w:hint="eastAsia" w:eastAsiaTheme="minorEastAsia"/>
          <w:sz w:val="32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2693670</wp:posOffset>
            </wp:positionH>
            <wp:positionV relativeFrom="paragraph">
              <wp:posOffset>72390</wp:posOffset>
            </wp:positionV>
            <wp:extent cx="1648460" cy="923290"/>
            <wp:effectExtent l="0" t="0" r="2540" b="3810"/>
            <wp:wrapTopAndBottom/>
            <wp:docPr id="2" name="图片 2" descr="aae2db4e33460a17af96ad16d075ee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ae2db4e33460a17af96ad16d075ee3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648460" cy="923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sz w:val="32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955675</wp:posOffset>
            </wp:positionH>
            <wp:positionV relativeFrom="paragraph">
              <wp:posOffset>78105</wp:posOffset>
            </wp:positionV>
            <wp:extent cx="1724025" cy="926465"/>
            <wp:effectExtent l="0" t="0" r="0" b="0"/>
            <wp:wrapTopAndBottom/>
            <wp:docPr id="1" name="图片 1" descr="899f70eda3d07f4fbb87a18ea9816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99f70eda3d07f4fbb87a18ea9816123"/>
                    <pic:cNvPicPr>
                      <a:picLocks noChangeAspect="1"/>
                    </pic:cNvPicPr>
                  </pic:nvPicPr>
                  <pic:blipFill>
                    <a:blip r:embed="rId8"/>
                    <a:srcRect b="19481"/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926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69A5CA9">
      <w:pPr>
        <w:ind w:firstLine="420"/>
        <w:rPr>
          <w:rFonts w:hint="eastAsia"/>
        </w:rPr>
      </w:pPr>
    </w:p>
    <w:p w14:paraId="513227CC">
      <w:pPr>
        <w:rPr>
          <w:rFonts w:hint="default" w:ascii="仿宋" w:hAnsi="仿宋" w:eastAsia="仿宋"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一、专业介绍</w:t>
      </w:r>
    </w:p>
    <w:p w14:paraId="18B48654">
      <w:pPr>
        <w:ind w:firstLine="560" w:firstLineChars="200"/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上海商学院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智慧</w:t>
      </w:r>
      <w:r>
        <w:rPr>
          <w:rFonts w:hint="eastAsia" w:ascii="仿宋" w:hAnsi="仿宋" w:eastAsia="仿宋"/>
          <w:sz w:val="28"/>
          <w:szCs w:val="28"/>
        </w:rPr>
        <w:t>物流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微</w:t>
      </w:r>
      <w:r>
        <w:rPr>
          <w:rFonts w:hint="eastAsia" w:ascii="仿宋" w:hAnsi="仿宋" w:eastAsia="仿宋"/>
          <w:sz w:val="28"/>
          <w:szCs w:val="28"/>
        </w:rPr>
        <w:t>专业背靠行业、依托上海国际大都市现代商业商务大背景和学校商科专业布局，以商贸物流为特色，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低空物流为抓手，</w:t>
      </w:r>
      <w:r>
        <w:rPr>
          <w:rFonts w:hint="eastAsia" w:ascii="仿宋" w:hAnsi="仿宋" w:eastAsia="仿宋"/>
          <w:sz w:val="28"/>
          <w:szCs w:val="28"/>
        </w:rPr>
        <w:t>着力打造培养国际化的应用型商贸物流管理高素质人才、教学科研基地、实践教学平台。</w:t>
      </w:r>
    </w:p>
    <w:p w14:paraId="64E9FD8A">
      <w:pPr>
        <w:rPr>
          <w:rFonts w:hint="eastAsia" w:ascii="仿宋" w:hAnsi="仿宋" w:eastAsia="仿宋"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二、培养方向</w:t>
      </w:r>
    </w:p>
    <w:p w14:paraId="60BA36D0">
      <w:pPr>
        <w:ind w:firstLine="560" w:firstLineChars="200"/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智慧物流微专业面向非物流管理专业的大一学生招生，学制2年，重点培养智慧物流管理新技能、新方法，并结合低空物流、国际航运等技能的培养，以及物流服务师的职业技能的认证，</w:t>
      </w:r>
      <w:r>
        <w:rPr>
          <w:rFonts w:hint="eastAsia" w:ascii="仿宋" w:hAnsi="仿宋" w:eastAsia="仿宋"/>
          <w:sz w:val="28"/>
          <w:szCs w:val="28"/>
        </w:rPr>
        <w:t>培养德智体美劳全面发展，具有社会责任、专业素养、实践能力、创新精神、国际视野，能够系统地掌握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智慧</w:t>
      </w:r>
      <w:r>
        <w:rPr>
          <w:rFonts w:hint="eastAsia" w:ascii="仿宋" w:hAnsi="仿宋" w:eastAsia="仿宋"/>
          <w:sz w:val="28"/>
          <w:szCs w:val="28"/>
        </w:rPr>
        <w:t>物流管理理论和方法，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能</w:t>
      </w:r>
      <w:r>
        <w:rPr>
          <w:rFonts w:hint="eastAsia" w:ascii="仿宋" w:hAnsi="仿宋" w:eastAsia="仿宋"/>
          <w:sz w:val="28"/>
          <w:szCs w:val="28"/>
        </w:rPr>
        <w:t>从事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智慧</w:t>
      </w:r>
      <w:r>
        <w:rPr>
          <w:rFonts w:hint="eastAsia" w:ascii="仿宋" w:hAnsi="仿宋" w:eastAsia="仿宋"/>
          <w:sz w:val="28"/>
          <w:szCs w:val="28"/>
        </w:rPr>
        <w:t>物流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流程</w:t>
      </w:r>
      <w:r>
        <w:rPr>
          <w:rFonts w:hint="eastAsia" w:ascii="仿宋" w:hAnsi="仿宋" w:eastAsia="仿宋"/>
          <w:sz w:val="28"/>
          <w:szCs w:val="28"/>
        </w:rPr>
        <w:t>管理、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低空物流、</w:t>
      </w:r>
      <w:r>
        <w:rPr>
          <w:rFonts w:hint="eastAsia" w:ascii="仿宋" w:hAnsi="仿宋" w:eastAsia="仿宋"/>
          <w:sz w:val="28"/>
          <w:szCs w:val="28"/>
        </w:rPr>
        <w:t>物流系统优化及运营管理等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方面工作，服务于商贸物流行业与相关交叉领域内的</w:t>
      </w:r>
      <w:r>
        <w:rPr>
          <w:rFonts w:hint="eastAsia" w:ascii="仿宋" w:hAnsi="仿宋" w:eastAsia="仿宋"/>
          <w:sz w:val="28"/>
          <w:szCs w:val="28"/>
        </w:rPr>
        <w:t>高素质应用型商科人才。</w:t>
      </w:r>
    </w:p>
    <w:p w14:paraId="6C128AF7">
      <w:pPr>
        <w:rPr>
          <w:rFonts w:hint="eastAsia" w:ascii="仿宋" w:hAnsi="仿宋" w:eastAsia="仿宋"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三、师资团队</w:t>
      </w:r>
    </w:p>
    <w:p w14:paraId="7962FBF6">
      <w:pPr>
        <w:ind w:firstLine="560" w:firstLineChars="200"/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专业现有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专业</w:t>
      </w:r>
      <w:r>
        <w:rPr>
          <w:rFonts w:hint="eastAsia" w:ascii="仿宋" w:hAnsi="仿宋" w:eastAsia="仿宋"/>
          <w:sz w:val="28"/>
          <w:szCs w:val="28"/>
        </w:rPr>
        <w:t>教师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9</w:t>
      </w:r>
      <w:r>
        <w:rPr>
          <w:rFonts w:hint="eastAsia" w:ascii="仿宋" w:hAnsi="仿宋" w:eastAsia="仿宋"/>
          <w:sz w:val="28"/>
          <w:szCs w:val="28"/>
        </w:rPr>
        <w:t>人，教育部高等学校物流管理与工程类专业教学指导委员会工作组成员</w:t>
      </w:r>
      <w:r>
        <w:rPr>
          <w:rFonts w:ascii="仿宋" w:hAnsi="仿宋" w:eastAsia="仿宋"/>
          <w:sz w:val="28"/>
          <w:szCs w:val="28"/>
        </w:rPr>
        <w:t>2</w:t>
      </w:r>
      <w:r>
        <w:rPr>
          <w:rFonts w:hint="eastAsia" w:ascii="仿宋" w:hAnsi="仿宋" w:eastAsia="仿宋"/>
          <w:sz w:val="28"/>
          <w:szCs w:val="28"/>
        </w:rPr>
        <w:t>人，国际物流C</w:t>
      </w:r>
      <w:r>
        <w:rPr>
          <w:rFonts w:ascii="仿宋" w:hAnsi="仿宋" w:eastAsia="仿宋"/>
          <w:sz w:val="28"/>
          <w:szCs w:val="28"/>
        </w:rPr>
        <w:t>ILT</w:t>
      </w:r>
      <w:r>
        <w:rPr>
          <w:rFonts w:hint="eastAsia" w:ascii="仿宋" w:hAnsi="仿宋" w:eastAsia="仿宋"/>
          <w:sz w:val="28"/>
          <w:szCs w:val="28"/>
        </w:rPr>
        <w:t>成员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4</w:t>
      </w:r>
      <w:r>
        <w:rPr>
          <w:rFonts w:hint="eastAsia" w:ascii="仿宋" w:hAnsi="仿宋" w:eastAsia="仿宋"/>
          <w:sz w:val="28"/>
          <w:szCs w:val="28"/>
        </w:rPr>
        <w:t>人，中国物流学会会员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8</w:t>
      </w:r>
      <w:r>
        <w:rPr>
          <w:rFonts w:hint="eastAsia" w:ascii="仿宋" w:hAnsi="仿宋" w:eastAsia="仿宋"/>
          <w:sz w:val="28"/>
          <w:szCs w:val="28"/>
        </w:rPr>
        <w:t>人，上海物流学会会员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9</w:t>
      </w:r>
      <w:r>
        <w:rPr>
          <w:rFonts w:hint="eastAsia" w:ascii="仿宋" w:hAnsi="仿宋" w:eastAsia="仿宋"/>
          <w:sz w:val="28"/>
          <w:szCs w:val="28"/>
        </w:rPr>
        <w:t>人。近三年来，教师团队共获科研成果共计22项，主持教改项目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10余</w:t>
      </w:r>
      <w:r>
        <w:rPr>
          <w:rFonts w:hint="eastAsia" w:ascii="仿宋" w:hAnsi="仿宋" w:eastAsia="仿宋"/>
          <w:sz w:val="28"/>
          <w:szCs w:val="28"/>
        </w:rPr>
        <w:t>项（一项获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国家物流管理</w:t>
      </w:r>
      <w:r>
        <w:rPr>
          <w:rFonts w:hint="eastAsia" w:ascii="仿宋" w:hAnsi="仿宋" w:eastAsia="仿宋"/>
          <w:sz w:val="28"/>
          <w:szCs w:val="28"/>
        </w:rPr>
        <w:t>教指委一等奖），发表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国内外高水平</w:t>
      </w:r>
      <w:r>
        <w:rPr>
          <w:rFonts w:hint="eastAsia" w:ascii="仿宋" w:hAnsi="仿宋" w:eastAsia="仿宋"/>
          <w:sz w:val="28"/>
          <w:szCs w:val="28"/>
        </w:rPr>
        <w:t>论文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10余</w:t>
      </w:r>
      <w:r>
        <w:rPr>
          <w:rFonts w:hint="eastAsia" w:ascii="仿宋" w:hAnsi="仿宋" w:eastAsia="仿宋"/>
          <w:sz w:val="28"/>
          <w:szCs w:val="28"/>
        </w:rPr>
        <w:t>篇，主编教材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3</w:t>
      </w:r>
      <w:r>
        <w:rPr>
          <w:rFonts w:hint="eastAsia" w:ascii="仿宋" w:hAnsi="仿宋" w:eastAsia="仿宋"/>
          <w:sz w:val="28"/>
          <w:szCs w:val="28"/>
        </w:rPr>
        <w:t>部。</w:t>
      </w:r>
    </w:p>
    <w:p w14:paraId="288B2748">
      <w:pPr>
        <w:rPr>
          <w:rFonts w:hint="default" w:ascii="仿宋" w:hAnsi="仿宋" w:eastAsia="仿宋"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四、主要课程</w:t>
      </w:r>
    </w:p>
    <w:p w14:paraId="30FF077A">
      <w:pPr>
        <w:ind w:firstLine="560" w:firstLineChars="200"/>
        <w:rPr>
          <w:rFonts w:hint="eastAsia" w:ascii="仿宋" w:hAnsi="仿宋" w:eastAsia="仿宋"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智能配送：</w:t>
      </w:r>
      <w:r>
        <w:rPr>
          <w:rFonts w:hint="eastAsia" w:ascii="仿宋" w:hAnsi="仿宋" w:eastAsia="仿宋"/>
          <w:sz w:val="28"/>
          <w:szCs w:val="28"/>
        </w:rPr>
        <w:t>配送中心规划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与</w:t>
      </w:r>
      <w:r>
        <w:rPr>
          <w:rFonts w:hint="eastAsia" w:ascii="仿宋" w:hAnsi="仿宋" w:eastAsia="仿宋"/>
          <w:sz w:val="28"/>
          <w:szCs w:val="28"/>
        </w:rPr>
        <w:t>选址规划、配送线路优化、配送模式选择、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智能调度方案设计</w:t>
      </w:r>
      <w:r>
        <w:rPr>
          <w:rFonts w:hint="eastAsia" w:ascii="仿宋" w:hAnsi="仿宋" w:eastAsia="仿宋"/>
          <w:sz w:val="28"/>
          <w:szCs w:val="28"/>
        </w:rPr>
        <w:t>等</w:t>
      </w:r>
      <w:r>
        <w:rPr>
          <w:rFonts w:hint="eastAsia" w:ascii="仿宋" w:hAnsi="仿宋" w:eastAsia="仿宋"/>
          <w:sz w:val="28"/>
          <w:szCs w:val="28"/>
          <w:lang w:eastAsia="zh-CN"/>
        </w:rPr>
        <w:t>。</w:t>
      </w:r>
    </w:p>
    <w:p w14:paraId="70FD59A6">
      <w:pPr>
        <w:ind w:firstLine="560" w:firstLineChars="200"/>
        <w:rPr>
          <w:rFonts w:hint="eastAsia" w:ascii="仿宋" w:hAnsi="仿宋" w:eastAsia="仿宋"/>
          <w:sz w:val="28"/>
          <w:szCs w:val="28"/>
          <w:lang w:eastAsia="zh-CN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智慧</w:t>
      </w:r>
      <w:r>
        <w:rPr>
          <w:rFonts w:hint="eastAsia" w:ascii="仿宋" w:hAnsi="仿宋" w:eastAsia="仿宋"/>
          <w:sz w:val="28"/>
          <w:szCs w:val="28"/>
        </w:rPr>
        <w:t>仓储</w:t>
      </w:r>
      <w:r>
        <w:rPr>
          <w:rFonts w:hint="eastAsia" w:ascii="仿宋" w:hAnsi="仿宋" w:eastAsia="仿宋"/>
          <w:sz w:val="28"/>
          <w:szCs w:val="28"/>
          <w:lang w:eastAsia="zh-CN"/>
        </w:rPr>
        <w:t>：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智慧仓储</w:t>
      </w:r>
      <w:r>
        <w:rPr>
          <w:rFonts w:hint="eastAsia" w:ascii="仿宋" w:hAnsi="仿宋" w:eastAsia="仿宋"/>
          <w:sz w:val="28"/>
          <w:szCs w:val="28"/>
        </w:rPr>
        <w:t>模块的功能,智慧仓储物流系统的含义、内容,重点掌握智能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出</w:t>
      </w:r>
      <w:r>
        <w:rPr>
          <w:rFonts w:hint="eastAsia" w:ascii="仿宋" w:hAnsi="仿宋" w:eastAsia="仿宋"/>
          <w:sz w:val="28"/>
          <w:szCs w:val="28"/>
        </w:rPr>
        <w:t>入库、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智能</w:t>
      </w:r>
      <w:r>
        <w:rPr>
          <w:rFonts w:hint="eastAsia" w:ascii="仿宋" w:hAnsi="仿宋" w:eastAsia="仿宋"/>
          <w:sz w:val="28"/>
          <w:szCs w:val="28"/>
        </w:rPr>
        <w:t>分拣、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智能</w:t>
      </w:r>
      <w:r>
        <w:rPr>
          <w:rFonts w:hint="eastAsia" w:ascii="仿宋" w:hAnsi="仿宋" w:eastAsia="仿宋"/>
          <w:sz w:val="28"/>
          <w:szCs w:val="28"/>
        </w:rPr>
        <w:t>盘点系统的功能和应用领域。</w:t>
      </w:r>
    </w:p>
    <w:p w14:paraId="7DF36A61">
      <w:pPr>
        <w:ind w:firstLine="560" w:firstLineChars="200"/>
        <w:rPr>
          <w:rFonts w:hint="default" w:ascii="仿宋" w:hAnsi="仿宋" w:eastAsia="仿宋"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国际航运：国际</w:t>
      </w:r>
      <w:r>
        <w:rPr>
          <w:rFonts w:hint="default" w:ascii="仿宋" w:hAnsi="仿宋" w:eastAsia="仿宋"/>
          <w:sz w:val="28"/>
          <w:szCs w:val="28"/>
        </w:rPr>
        <w:t>航运的管理和组织形式，包括航线规划、船舶调度、货物装卸和货运保险等内容。</w:t>
      </w:r>
    </w:p>
    <w:p w14:paraId="51289C65">
      <w:pPr>
        <w:ind w:firstLine="560" w:firstLineChars="200"/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低空物流：低空物流与综合交通运输体系，低空物流应用场景、低空物流产业链与市场发展前景、低空物流飞手应掌握的技术、低空物流产业实践案例</w:t>
      </w:r>
      <w:r>
        <w:rPr>
          <w:rFonts w:hint="eastAsia" w:ascii="仿宋" w:hAnsi="仿宋" w:eastAsia="仿宋"/>
          <w:sz w:val="28"/>
          <w:szCs w:val="28"/>
        </w:rPr>
        <w:t>。</w:t>
      </w:r>
    </w:p>
    <w:p w14:paraId="0804B770">
      <w:pPr>
        <w:ind w:firstLine="560" w:firstLineChars="200"/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智慧物流实践：智慧物流管理的基本理论与应用场景，重点掌握物流服务师职业技能考试的基本内容。</w:t>
      </w:r>
      <w:r>
        <w:rPr>
          <w:rFonts w:hint="eastAsia" w:ascii="仿宋" w:hAnsi="仿宋" w:eastAsia="仿宋"/>
          <w:sz w:val="28"/>
          <w:szCs w:val="28"/>
        </w:rPr>
        <w:t xml:space="preserve">    </w:t>
      </w:r>
    </w:p>
    <w:p w14:paraId="59CEA812">
      <w:pPr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五、</w:t>
      </w:r>
      <w:r>
        <w:rPr>
          <w:rFonts w:hint="eastAsia" w:ascii="仿宋" w:hAnsi="仿宋" w:eastAsia="仿宋"/>
          <w:sz w:val="28"/>
          <w:szCs w:val="28"/>
        </w:rPr>
        <w:t>校企合作</w:t>
      </w:r>
    </w:p>
    <w:p w14:paraId="28380314">
      <w:pPr>
        <w:ind w:firstLine="560" w:firstLineChars="200"/>
        <w:rPr>
          <w:rFonts w:hint="eastAsia" w:ascii="仿宋" w:hAnsi="仿宋" w:eastAsia="仿宋"/>
          <w:sz w:val="28"/>
          <w:szCs w:val="28"/>
          <w:lang w:eastAsia="zh-CN"/>
        </w:rPr>
      </w:pPr>
      <w:r>
        <w:rPr>
          <w:rFonts w:hint="eastAsia" w:ascii="仿宋" w:hAnsi="仿宋" w:eastAsia="仿宋"/>
          <w:sz w:val="28"/>
          <w:szCs w:val="28"/>
        </w:rPr>
        <w:t>本专业已与顺丰速运集团、京东物流、上海发网供应链有限公司、上海海烟物流、物流汇、中外运等30多家国内外知名大型企业建立了紧密的校企合作实习实践基地。</w:t>
      </w:r>
      <w:r>
        <w:rPr>
          <w:rFonts w:hint="eastAsia" w:ascii="仿宋" w:hAnsi="仿宋" w:eastAsia="仿宋"/>
          <w:b/>
          <w:bCs/>
          <w:sz w:val="28"/>
          <w:szCs w:val="28"/>
          <w:lang w:val="en-US" w:eastAsia="zh-CN"/>
        </w:rPr>
        <w:t>已与</w:t>
      </w:r>
      <w:r>
        <w:rPr>
          <w:rFonts w:hint="eastAsia" w:ascii="仿宋" w:hAnsi="仿宋" w:eastAsia="仿宋"/>
          <w:b/>
          <w:bCs/>
          <w:sz w:val="28"/>
          <w:szCs w:val="28"/>
        </w:rPr>
        <w:t>无人机培训</w:t>
      </w:r>
      <w:r>
        <w:rPr>
          <w:rFonts w:hint="eastAsia" w:ascii="仿宋" w:hAnsi="仿宋" w:eastAsia="仿宋"/>
          <w:b/>
          <w:bCs/>
          <w:sz w:val="28"/>
          <w:szCs w:val="28"/>
          <w:lang w:val="en-US" w:eastAsia="zh-CN"/>
        </w:rPr>
        <w:t>机构合作</w:t>
      </w:r>
      <w:r>
        <w:rPr>
          <w:rFonts w:hint="eastAsia" w:ascii="仿宋" w:hAnsi="仿宋" w:eastAsia="仿宋"/>
          <w:b/>
          <w:bCs/>
          <w:sz w:val="28"/>
          <w:szCs w:val="28"/>
        </w:rPr>
        <w:t>，</w:t>
      </w:r>
      <w:r>
        <w:rPr>
          <w:rFonts w:hint="eastAsia" w:ascii="仿宋" w:hAnsi="仿宋" w:eastAsia="仿宋"/>
          <w:b/>
          <w:bCs/>
          <w:sz w:val="28"/>
          <w:szCs w:val="28"/>
          <w:lang w:val="en-US" w:eastAsia="zh-CN"/>
        </w:rPr>
        <w:t>完成考证可获</w:t>
      </w:r>
      <w:r>
        <w:rPr>
          <w:rFonts w:hint="eastAsia" w:ascii="仿宋" w:hAnsi="仿宋" w:eastAsia="仿宋"/>
          <w:b/>
          <w:bCs/>
          <w:sz w:val="28"/>
          <w:szCs w:val="28"/>
        </w:rPr>
        <w:t>CAAC与AOPA资质，</w:t>
      </w:r>
      <w:r>
        <w:rPr>
          <w:rFonts w:hint="eastAsia" w:ascii="仿宋" w:hAnsi="仿宋" w:eastAsia="仿宋"/>
          <w:b/>
          <w:bCs/>
          <w:sz w:val="28"/>
          <w:szCs w:val="28"/>
          <w:lang w:val="en-US" w:eastAsia="zh-CN"/>
        </w:rPr>
        <w:t>并在奉贤有培训基地</w:t>
      </w:r>
      <w:r>
        <w:rPr>
          <w:rFonts w:hint="eastAsia" w:ascii="仿宋" w:hAnsi="仿宋" w:eastAsia="仿宋"/>
          <w:sz w:val="28"/>
          <w:szCs w:val="28"/>
          <w:lang w:eastAsia="zh-CN"/>
        </w:rPr>
        <w:t>。</w:t>
      </w:r>
    </w:p>
    <w:p w14:paraId="0D6600E9">
      <w:pPr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六</w:t>
      </w:r>
      <w:r>
        <w:rPr>
          <w:rFonts w:hint="eastAsia" w:ascii="仿宋" w:hAnsi="仿宋" w:eastAsia="仿宋"/>
          <w:sz w:val="28"/>
          <w:szCs w:val="28"/>
        </w:rPr>
        <w:t>、学分与证书</w:t>
      </w:r>
    </w:p>
    <w:p w14:paraId="66B172C4">
      <w:pPr>
        <w:ind w:firstLine="560" w:firstLineChars="200"/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修满《智慧物流微专业培养方案》规定的12个学分，颁发“智慧物流微专业”结业证书。通过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人社局</w:t>
      </w:r>
      <w:r>
        <w:rPr>
          <w:rFonts w:hint="eastAsia" w:ascii="仿宋" w:hAnsi="仿宋" w:eastAsia="仿宋"/>
          <w:sz w:val="28"/>
          <w:szCs w:val="28"/>
        </w:rPr>
        <w:t>考试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的将</w:t>
      </w:r>
      <w:r>
        <w:rPr>
          <w:rFonts w:hint="eastAsia" w:ascii="仿宋" w:hAnsi="仿宋" w:eastAsia="仿宋"/>
          <w:sz w:val="28"/>
          <w:szCs w:val="28"/>
        </w:rPr>
        <w:t>获取“物流服务师”三级技能证书。</w:t>
      </w:r>
    </w:p>
    <w:p w14:paraId="3533A9FE">
      <w:pPr>
        <w:numPr>
          <w:ilvl w:val="0"/>
          <w:numId w:val="1"/>
        </w:numPr>
        <w:rPr>
          <w:rFonts w:hint="eastAsia" w:ascii="仿宋" w:hAnsi="仿宋" w:eastAsia="仿宋"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招收人数与学费</w:t>
      </w:r>
    </w:p>
    <w:p w14:paraId="15E11263">
      <w:pPr>
        <w:numPr>
          <w:ilvl w:val="0"/>
          <w:numId w:val="0"/>
        </w:numPr>
        <w:rPr>
          <w:rFonts w:hint="eastAsia" w:ascii="仿宋" w:hAnsi="仿宋" w:eastAsia="仿宋"/>
          <w:sz w:val="28"/>
          <w:szCs w:val="28"/>
          <w:lang w:eastAsia="zh-CN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每年招收20名学生，</w:t>
      </w:r>
      <w:bookmarkStart w:id="0" w:name="_GoBack"/>
      <w:bookmarkEnd w:id="0"/>
      <w:r>
        <w:rPr>
          <w:rFonts w:hint="eastAsia" w:ascii="仿宋" w:hAnsi="仿宋" w:eastAsia="仿宋"/>
          <w:sz w:val="28"/>
          <w:szCs w:val="28"/>
          <w:lang w:val="en-US" w:eastAsia="zh-CN"/>
        </w:rPr>
        <w:t>学费：免费。感兴趣的同学可以进群了解最新消息！</w:t>
      </w:r>
      <w:r>
        <w:rPr>
          <w:rFonts w:hint="eastAsia" w:ascii="仿宋" w:hAnsi="仿宋" w:eastAsia="仿宋"/>
          <w:sz w:val="28"/>
          <w:szCs w:val="28"/>
        </w:rPr>
        <w:br w:type="textWrapping"/>
      </w:r>
      <w:r>
        <w:rPr>
          <w:rFonts w:hint="eastAsia" w:ascii="仿宋" w:hAnsi="仿宋" w:eastAsia="仿宋"/>
          <w:sz w:val="28"/>
          <w:szCs w:val="28"/>
          <w:lang w:eastAsia="zh-CN"/>
        </w:rPr>
        <w:drawing>
          <wp:inline distT="0" distB="0" distL="114300" distR="114300">
            <wp:extent cx="2667000" cy="4293870"/>
            <wp:effectExtent l="0" t="0" r="0" b="11430"/>
            <wp:docPr id="3" name="图片 3" descr="72a03fa68a446ec04507d4459e8ff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2a03fa68a446ec04507d4459e8ff1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4293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1B54EBF"/>
    <w:multiLevelType w:val="singleLevel"/>
    <w:tmpl w:val="51B54EBF"/>
    <w:lvl w:ilvl="0" w:tentative="0">
      <w:start w:val="7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3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WJmNTAxYTA0NTllZTU0OWY5NWY0MWNlMzBjNGU2OTYifQ=="/>
  </w:docVars>
  <w:rsids>
    <w:rsidRoot w:val="00000000"/>
    <w:rsid w:val="06BF7DC5"/>
    <w:rsid w:val="0A7F05A5"/>
    <w:rsid w:val="1C646FED"/>
    <w:rsid w:val="273B5689"/>
    <w:rsid w:val="2F9420D1"/>
    <w:rsid w:val="2FB90FA6"/>
    <w:rsid w:val="2FF87D20"/>
    <w:rsid w:val="326A79C4"/>
    <w:rsid w:val="3E9B43FB"/>
    <w:rsid w:val="53640539"/>
    <w:rsid w:val="76A704CA"/>
    <w:rsid w:val="76AD5697"/>
    <w:rsid w:val="779B1726"/>
    <w:rsid w:val="7DAA0415"/>
    <w:rsid w:val="7F0013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981</Words>
  <Characters>996</Characters>
  <Lines>0</Lines>
  <Paragraphs>0</Paragraphs>
  <TotalTime>10</TotalTime>
  <ScaleCrop>false</ScaleCrop>
  <LinksUpToDate>false</LinksUpToDate>
  <CharactersWithSpaces>1000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2024-11-15T04:48:00Z</dcterms:created>
  <dc:creator>31717</dc:creator>
  <cp:lastModifiedBy>殷延海</cp:lastModifiedBy>
  <dcterms:modified xsi:type="dcterms:W3CDTF">2025-04-15T06:55:10Z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43242ADB74A64A9B9E22EF00C2674691_13</vt:lpwstr>
  </property>
  <property fmtid="{D5CDD505-2E9C-101B-9397-08002B2CF9AE}" pid="4" name="KSOTemplateDocerSaveRecord">
    <vt:lpwstr>eyJoZGlkIjoiYWJmNTAxYTA0NTllZTU0OWY5NWY0MWNlMzBjNGU2OTYiLCJ1c2VySWQiOiI4MjkxMjU2OTIifQ==</vt:lpwstr>
  </property>
</Properties>
</file>